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C70FE" w14:textId="77777777" w:rsidR="00493DFA" w:rsidRDefault="00E13B94">
      <w:pPr>
        <w:pStyle w:val="BodyText"/>
        <w:ind w:left="120"/>
        <w:rPr>
          <w:sz w:val="20"/>
        </w:rPr>
      </w:pPr>
      <w:r>
        <w:rPr>
          <w:noProof/>
          <w:sz w:val="20"/>
        </w:rPr>
        <w:drawing>
          <wp:inline distT="0" distB="0" distL="0" distR="0" wp14:anchorId="247D35D2" wp14:editId="72867621">
            <wp:extent cx="1386202" cy="24269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386202" cy="242697"/>
                    </a:xfrm>
                    <a:prstGeom prst="rect">
                      <a:avLst/>
                    </a:prstGeom>
                  </pic:spPr>
                </pic:pic>
              </a:graphicData>
            </a:graphic>
          </wp:inline>
        </w:drawing>
      </w:r>
    </w:p>
    <w:p w14:paraId="6E0780EF" w14:textId="77777777" w:rsidR="00493DFA" w:rsidRDefault="00493DFA">
      <w:pPr>
        <w:pStyle w:val="BodyText"/>
        <w:rPr>
          <w:sz w:val="20"/>
        </w:rPr>
      </w:pPr>
    </w:p>
    <w:p w14:paraId="30EA47A9" w14:textId="77777777" w:rsidR="00493DFA" w:rsidRDefault="00493DFA">
      <w:pPr>
        <w:pStyle w:val="BodyText"/>
        <w:spacing w:before="8"/>
        <w:rPr>
          <w:sz w:val="19"/>
        </w:rPr>
      </w:pPr>
    </w:p>
    <w:p w14:paraId="26CBFB88" w14:textId="77777777" w:rsidR="00493DFA" w:rsidRDefault="00E13B94">
      <w:pPr>
        <w:pStyle w:val="Title"/>
      </w:pPr>
      <w:r>
        <w:t>Total</w:t>
      </w:r>
      <w:r>
        <w:rPr>
          <w:spacing w:val="-8"/>
        </w:rPr>
        <w:t xml:space="preserve"> </w:t>
      </w:r>
      <w:r>
        <w:t>Loss-Absorbing</w:t>
      </w:r>
      <w:r>
        <w:rPr>
          <w:spacing w:val="-10"/>
        </w:rPr>
        <w:t xml:space="preserve"> </w:t>
      </w:r>
      <w:r>
        <w:t>Capacity</w:t>
      </w:r>
      <w:r>
        <w:rPr>
          <w:spacing w:val="-7"/>
        </w:rPr>
        <w:t xml:space="preserve"> </w:t>
      </w:r>
      <w:r>
        <w:t>(“TLAC”)</w:t>
      </w:r>
      <w:r>
        <w:rPr>
          <w:spacing w:val="-8"/>
        </w:rPr>
        <w:t xml:space="preserve"> </w:t>
      </w:r>
      <w:r>
        <w:rPr>
          <w:spacing w:val="-2"/>
        </w:rPr>
        <w:t>Disclosure</w:t>
      </w:r>
    </w:p>
    <w:p w14:paraId="7A7D61C6" w14:textId="77777777" w:rsidR="00493DFA" w:rsidRDefault="00493DFA">
      <w:pPr>
        <w:pStyle w:val="BodyText"/>
        <w:spacing w:before="6"/>
        <w:rPr>
          <w:b/>
          <w:sz w:val="23"/>
        </w:rPr>
      </w:pPr>
    </w:p>
    <w:p w14:paraId="371CF32C" w14:textId="5341B7B0" w:rsidR="00493DFA" w:rsidRDefault="00E13B94">
      <w:pPr>
        <w:pStyle w:val="BodyText"/>
        <w:spacing w:before="1"/>
        <w:ind w:left="119" w:right="169" w:firstLine="900"/>
      </w:pPr>
      <w:r>
        <w:t>The Board of Governors of the Federal Reserve System (the “Federal Reserve”) adopted a final rule in December 2016 that requires certain U.S. organizations to maintain a minimum amount of loss-absorbing capacity, including a minimum amount of unsecured long-term debt (“LTD”) (the “TLAC Rule”). The TLAC Rule applies to U.S. globally systemic important banks and to U.S. intermediate holding companies (“IHCs”) with $50 billion or more in U.S. non-branch assets that are controlled by a globally systemically important foreign banking organization.</w:t>
      </w:r>
      <w:r>
        <w:rPr>
          <w:spacing w:val="40"/>
        </w:rPr>
        <w:t xml:space="preserve"> </w:t>
      </w:r>
      <w:r>
        <w:t>Santander Holdings USA, Inc., a Virginia corporation (the “Company”), is such an IHC. The TLAC Rule requires such IHCs to publicly</w:t>
      </w:r>
      <w:r>
        <w:rPr>
          <w:spacing w:val="-1"/>
        </w:rPr>
        <w:t xml:space="preserve"> </w:t>
      </w:r>
      <w:r>
        <w:t>disclose a description of the financial</w:t>
      </w:r>
      <w:r>
        <w:rPr>
          <w:spacing w:val="-1"/>
        </w:rPr>
        <w:t xml:space="preserve"> </w:t>
      </w:r>
      <w:r>
        <w:t>consequences</w:t>
      </w:r>
      <w:r>
        <w:rPr>
          <w:spacing w:val="-1"/>
        </w:rPr>
        <w:t xml:space="preserve"> </w:t>
      </w:r>
      <w:r>
        <w:t>to</w:t>
      </w:r>
      <w:r>
        <w:rPr>
          <w:spacing w:val="-1"/>
        </w:rPr>
        <w:t xml:space="preserve"> </w:t>
      </w:r>
      <w:r>
        <w:t>unsecured</w:t>
      </w:r>
      <w:r>
        <w:rPr>
          <w:spacing w:val="-1"/>
        </w:rPr>
        <w:t xml:space="preserve"> </w:t>
      </w:r>
      <w:r>
        <w:t>debtholders of</w:t>
      </w:r>
      <w:r>
        <w:rPr>
          <w:spacing w:val="-2"/>
        </w:rPr>
        <w:t xml:space="preserve"> </w:t>
      </w:r>
      <w:r>
        <w:t>the IHC’s</w:t>
      </w:r>
      <w:r>
        <w:rPr>
          <w:spacing w:val="-1"/>
        </w:rPr>
        <w:t xml:space="preserve"> </w:t>
      </w:r>
      <w:r>
        <w:t>entry</w:t>
      </w:r>
      <w:r>
        <w:rPr>
          <w:spacing w:val="-6"/>
        </w:rPr>
        <w:t xml:space="preserve"> </w:t>
      </w:r>
      <w:r>
        <w:t>into</w:t>
      </w:r>
      <w:r>
        <w:rPr>
          <w:spacing w:val="-1"/>
        </w:rPr>
        <w:t xml:space="preserve"> </w:t>
      </w:r>
      <w:r>
        <w:t>a resolution</w:t>
      </w:r>
      <w:r>
        <w:rPr>
          <w:spacing w:val="-1"/>
        </w:rPr>
        <w:t xml:space="preserve"> </w:t>
      </w:r>
      <w:r>
        <w:t>proceeding in</w:t>
      </w:r>
      <w:r>
        <w:rPr>
          <w:spacing w:val="-2"/>
        </w:rPr>
        <w:t xml:space="preserve"> </w:t>
      </w:r>
      <w:r>
        <w:t>which</w:t>
      </w:r>
      <w:r>
        <w:rPr>
          <w:spacing w:val="-2"/>
        </w:rPr>
        <w:t xml:space="preserve"> </w:t>
      </w:r>
      <w:r>
        <w:t>the</w:t>
      </w:r>
      <w:r>
        <w:rPr>
          <w:spacing w:val="-1"/>
        </w:rPr>
        <w:t xml:space="preserve"> </w:t>
      </w:r>
      <w:r>
        <w:t>IHC</w:t>
      </w:r>
      <w:r>
        <w:rPr>
          <w:spacing w:val="-2"/>
        </w:rPr>
        <w:t xml:space="preserve"> </w:t>
      </w:r>
      <w:r>
        <w:t>is</w:t>
      </w:r>
      <w:r>
        <w:rPr>
          <w:spacing w:val="-2"/>
        </w:rPr>
        <w:t xml:space="preserve"> </w:t>
      </w:r>
      <w:r>
        <w:t>the</w:t>
      </w:r>
      <w:r>
        <w:rPr>
          <w:spacing w:val="-3"/>
        </w:rPr>
        <w:t xml:space="preserve"> </w:t>
      </w:r>
      <w:r>
        <w:t>only</w:t>
      </w:r>
      <w:r>
        <w:rPr>
          <w:spacing w:val="-7"/>
        </w:rPr>
        <w:t xml:space="preserve"> </w:t>
      </w:r>
      <w:r>
        <w:t>entity</w:t>
      </w:r>
      <w:r>
        <w:rPr>
          <w:spacing w:val="-7"/>
        </w:rPr>
        <w:t xml:space="preserve"> </w:t>
      </w:r>
      <w:r>
        <w:t>that</w:t>
      </w:r>
      <w:r>
        <w:rPr>
          <w:spacing w:val="-2"/>
        </w:rPr>
        <w:t xml:space="preserve"> </w:t>
      </w:r>
      <w:r>
        <w:t>would</w:t>
      </w:r>
      <w:r>
        <w:rPr>
          <w:spacing w:val="-2"/>
        </w:rPr>
        <w:t xml:space="preserve"> </w:t>
      </w:r>
      <w:r>
        <w:t>enter</w:t>
      </w:r>
      <w:r>
        <w:rPr>
          <w:spacing w:val="-3"/>
        </w:rPr>
        <w:t xml:space="preserve"> </w:t>
      </w:r>
      <w:r>
        <w:t xml:space="preserve">resolution. </w:t>
      </w:r>
      <w:proofErr w:type="gramStart"/>
      <w:r>
        <w:t>In</w:t>
      </w:r>
      <w:r>
        <w:rPr>
          <w:spacing w:val="-2"/>
        </w:rPr>
        <w:t xml:space="preserve"> </w:t>
      </w:r>
      <w:r>
        <w:t>order</w:t>
      </w:r>
      <w:r>
        <w:rPr>
          <w:spacing w:val="-3"/>
        </w:rPr>
        <w:t xml:space="preserve"> </w:t>
      </w:r>
      <w:r>
        <w:t>to</w:t>
      </w:r>
      <w:proofErr w:type="gramEnd"/>
      <w:r>
        <w:rPr>
          <w:spacing w:val="-2"/>
        </w:rPr>
        <w:t xml:space="preserve"> </w:t>
      </w:r>
      <w:r>
        <w:t>comply</w:t>
      </w:r>
      <w:r>
        <w:rPr>
          <w:spacing w:val="-7"/>
        </w:rPr>
        <w:t xml:space="preserve"> </w:t>
      </w:r>
      <w:r>
        <w:t>with</w:t>
      </w:r>
      <w:r>
        <w:rPr>
          <w:spacing w:val="-2"/>
        </w:rPr>
        <w:t xml:space="preserve"> </w:t>
      </w:r>
      <w:r>
        <w:t>this</w:t>
      </w:r>
      <w:r>
        <w:rPr>
          <w:spacing w:val="-2"/>
        </w:rPr>
        <w:t xml:space="preserve"> </w:t>
      </w:r>
      <w:r>
        <w:t>rule, the Company has made the following disclosures:</w:t>
      </w:r>
    </w:p>
    <w:p w14:paraId="6CA9BDC4" w14:textId="77777777" w:rsidR="00493DFA" w:rsidRDefault="00493DFA">
      <w:pPr>
        <w:pStyle w:val="BodyText"/>
        <w:spacing w:before="10"/>
        <w:rPr>
          <w:sz w:val="20"/>
        </w:rPr>
      </w:pPr>
    </w:p>
    <w:p w14:paraId="46E1FFCA" w14:textId="77777777" w:rsidR="00493DFA" w:rsidRDefault="00E13B94">
      <w:pPr>
        <w:ind w:left="119"/>
        <w:rPr>
          <w:i/>
          <w:sz w:val="24"/>
        </w:rPr>
      </w:pPr>
      <w:r>
        <w:rPr>
          <w:i/>
          <w:sz w:val="24"/>
        </w:rPr>
        <w:t>Our</w:t>
      </w:r>
      <w:r>
        <w:rPr>
          <w:i/>
          <w:spacing w:val="-5"/>
          <w:sz w:val="24"/>
        </w:rPr>
        <w:t xml:space="preserve"> </w:t>
      </w:r>
      <w:r>
        <w:rPr>
          <w:i/>
          <w:sz w:val="24"/>
        </w:rPr>
        <w:t>resolution</w:t>
      </w:r>
      <w:r>
        <w:rPr>
          <w:i/>
          <w:spacing w:val="-3"/>
          <w:sz w:val="24"/>
        </w:rPr>
        <w:t xml:space="preserve"> </w:t>
      </w:r>
      <w:r>
        <w:rPr>
          <w:i/>
          <w:sz w:val="24"/>
        </w:rPr>
        <w:t>in</w:t>
      </w:r>
      <w:r>
        <w:rPr>
          <w:i/>
          <w:spacing w:val="-3"/>
          <w:sz w:val="24"/>
        </w:rPr>
        <w:t xml:space="preserve"> </w:t>
      </w:r>
      <w:r>
        <w:rPr>
          <w:i/>
          <w:sz w:val="24"/>
        </w:rPr>
        <w:t>a</w:t>
      </w:r>
      <w:r>
        <w:rPr>
          <w:i/>
          <w:spacing w:val="-3"/>
          <w:sz w:val="24"/>
        </w:rPr>
        <w:t xml:space="preserve"> </w:t>
      </w:r>
      <w:r>
        <w:rPr>
          <w:i/>
          <w:sz w:val="24"/>
        </w:rPr>
        <w:t>bankruptcy</w:t>
      </w:r>
      <w:r>
        <w:rPr>
          <w:i/>
          <w:spacing w:val="-4"/>
          <w:sz w:val="24"/>
        </w:rPr>
        <w:t xml:space="preserve"> </w:t>
      </w:r>
      <w:r>
        <w:rPr>
          <w:i/>
          <w:sz w:val="24"/>
        </w:rPr>
        <w:t>proceeding</w:t>
      </w:r>
      <w:r>
        <w:rPr>
          <w:i/>
          <w:spacing w:val="-3"/>
          <w:sz w:val="24"/>
        </w:rPr>
        <w:t xml:space="preserve"> </w:t>
      </w:r>
      <w:r>
        <w:rPr>
          <w:i/>
          <w:sz w:val="24"/>
        </w:rPr>
        <w:t>could</w:t>
      </w:r>
      <w:r>
        <w:rPr>
          <w:i/>
          <w:spacing w:val="-1"/>
          <w:sz w:val="24"/>
        </w:rPr>
        <w:t xml:space="preserve"> </w:t>
      </w:r>
      <w:r>
        <w:rPr>
          <w:i/>
          <w:sz w:val="24"/>
        </w:rPr>
        <w:t>result</w:t>
      </w:r>
      <w:r>
        <w:rPr>
          <w:i/>
          <w:spacing w:val="-3"/>
          <w:sz w:val="24"/>
        </w:rPr>
        <w:t xml:space="preserve"> </w:t>
      </w:r>
      <w:r>
        <w:rPr>
          <w:i/>
          <w:sz w:val="24"/>
        </w:rPr>
        <w:t>in</w:t>
      </w:r>
      <w:r>
        <w:rPr>
          <w:i/>
          <w:spacing w:val="-3"/>
          <w:sz w:val="24"/>
        </w:rPr>
        <w:t xml:space="preserve"> </w:t>
      </w:r>
      <w:r>
        <w:rPr>
          <w:i/>
          <w:sz w:val="24"/>
        </w:rPr>
        <w:t>losses</w:t>
      </w:r>
      <w:r>
        <w:rPr>
          <w:i/>
          <w:spacing w:val="-3"/>
          <w:sz w:val="24"/>
        </w:rPr>
        <w:t xml:space="preserve"> </w:t>
      </w:r>
      <w:r>
        <w:rPr>
          <w:i/>
          <w:sz w:val="24"/>
        </w:rPr>
        <w:t>for</w:t>
      </w:r>
      <w:r>
        <w:rPr>
          <w:i/>
          <w:spacing w:val="-3"/>
          <w:sz w:val="24"/>
        </w:rPr>
        <w:t xml:space="preserve"> </w:t>
      </w:r>
      <w:r>
        <w:rPr>
          <w:i/>
          <w:sz w:val="24"/>
        </w:rPr>
        <w:t>holders</w:t>
      </w:r>
      <w:r>
        <w:rPr>
          <w:i/>
          <w:spacing w:val="-3"/>
          <w:sz w:val="24"/>
        </w:rPr>
        <w:t xml:space="preserve"> </w:t>
      </w:r>
      <w:r>
        <w:rPr>
          <w:i/>
          <w:sz w:val="24"/>
        </w:rPr>
        <w:t>of</w:t>
      </w:r>
      <w:r>
        <w:rPr>
          <w:i/>
          <w:spacing w:val="-3"/>
          <w:sz w:val="24"/>
        </w:rPr>
        <w:t xml:space="preserve"> </w:t>
      </w:r>
      <w:r>
        <w:rPr>
          <w:i/>
          <w:sz w:val="24"/>
        </w:rPr>
        <w:t>our</w:t>
      </w:r>
      <w:r>
        <w:rPr>
          <w:i/>
          <w:spacing w:val="-2"/>
          <w:sz w:val="24"/>
        </w:rPr>
        <w:t xml:space="preserve"> securities.</w:t>
      </w:r>
    </w:p>
    <w:p w14:paraId="671EBE53" w14:textId="77777777" w:rsidR="00493DFA" w:rsidRDefault="00493DFA">
      <w:pPr>
        <w:pStyle w:val="BodyText"/>
        <w:spacing w:before="10"/>
        <w:rPr>
          <w:i/>
          <w:sz w:val="20"/>
        </w:rPr>
      </w:pPr>
    </w:p>
    <w:p w14:paraId="7242F1F1" w14:textId="4D2F0081" w:rsidR="0006374F" w:rsidRDefault="00E13B94" w:rsidP="0006374F">
      <w:pPr>
        <w:pStyle w:val="BodyText"/>
        <w:ind w:left="119" w:right="57" w:firstLine="856"/>
      </w:pPr>
      <w:r>
        <w:t>Under regulations issued by the Federal Reserve and the Federal Deposit Insurance Corporation (the “FDIC”), and as required by Section 165(d) of the Dodd-Frank Wall Street Reform</w:t>
      </w:r>
      <w:r>
        <w:rPr>
          <w:spacing w:val="-3"/>
        </w:rPr>
        <w:t xml:space="preserve"> </w:t>
      </w:r>
      <w:r>
        <w:t>and</w:t>
      </w:r>
      <w:r>
        <w:rPr>
          <w:spacing w:val="-3"/>
        </w:rPr>
        <w:t xml:space="preserve"> </w:t>
      </w:r>
      <w:r>
        <w:t>Consumer</w:t>
      </w:r>
      <w:r>
        <w:rPr>
          <w:spacing w:val="-4"/>
        </w:rPr>
        <w:t xml:space="preserve"> </w:t>
      </w:r>
      <w:r>
        <w:t>Protection</w:t>
      </w:r>
      <w:r>
        <w:rPr>
          <w:spacing w:val="-3"/>
        </w:rPr>
        <w:t xml:space="preserve"> </w:t>
      </w:r>
      <w:r>
        <w:t>Act</w:t>
      </w:r>
      <w:r>
        <w:rPr>
          <w:spacing w:val="-3"/>
        </w:rPr>
        <w:t xml:space="preserve"> </w:t>
      </w:r>
      <w:r>
        <w:t>(the</w:t>
      </w:r>
      <w:r>
        <w:rPr>
          <w:spacing w:val="-2"/>
        </w:rPr>
        <w:t xml:space="preserve"> </w:t>
      </w:r>
      <w:r>
        <w:t>“Dodd-Frank</w:t>
      </w:r>
      <w:r>
        <w:rPr>
          <w:spacing w:val="-3"/>
        </w:rPr>
        <w:t xml:space="preserve"> </w:t>
      </w:r>
      <w:r>
        <w:t>Act”),</w:t>
      </w:r>
      <w:r>
        <w:rPr>
          <w:spacing w:val="-3"/>
        </w:rPr>
        <w:t xml:space="preserve"> </w:t>
      </w:r>
      <w:r>
        <w:t>the</w:t>
      </w:r>
      <w:r>
        <w:rPr>
          <w:spacing w:val="-4"/>
        </w:rPr>
        <w:t xml:space="preserve"> </w:t>
      </w:r>
      <w:r>
        <w:t>Company</w:t>
      </w:r>
      <w:r>
        <w:rPr>
          <w:spacing w:val="-8"/>
        </w:rPr>
        <w:t xml:space="preserve"> </w:t>
      </w:r>
      <w:r>
        <w:t>must</w:t>
      </w:r>
      <w:r>
        <w:rPr>
          <w:spacing w:val="-3"/>
        </w:rPr>
        <w:t xml:space="preserve"> </w:t>
      </w:r>
      <w:r>
        <w:t>provide</w:t>
      </w:r>
      <w:r>
        <w:rPr>
          <w:spacing w:val="-4"/>
        </w:rPr>
        <w:t xml:space="preserve"> </w:t>
      </w:r>
      <w:r>
        <w:t>to</w:t>
      </w:r>
      <w:r>
        <w:rPr>
          <w:spacing w:val="-3"/>
        </w:rPr>
        <w:t xml:space="preserve"> </w:t>
      </w:r>
      <w:r>
        <w:t>the Federal Reserve and the FDIC a plan (a “Section 165(d) Resolution Plan”) for our rapid and orderly resolution in the event of material financial distress affecting the Company or the failure of the Company. The purpose of this provision of the Dodd-Frank Act is to provide regulators with plans that would enable them to resolve failing financial companies that pose a significant risk to the financial stability of the United States in a manner that mitigates such risk</w:t>
      </w:r>
      <w:r w:rsidRPr="00E13B94">
        <w:t>. The most recently filed Section 165(d) Resolution Plan by Banco Santander, S.A. (“Banco Santander”) in June 2022 (the “2022 Resolution</w:t>
      </w:r>
      <w:r>
        <w:t xml:space="preserve"> Plan”) provides a roadmap for the orderly resolution</w:t>
      </w:r>
      <w:r>
        <w:rPr>
          <w:spacing w:val="-2"/>
        </w:rPr>
        <w:t xml:space="preserve"> </w:t>
      </w:r>
      <w:r>
        <w:t>of</w:t>
      </w:r>
      <w:r>
        <w:rPr>
          <w:spacing w:val="-3"/>
        </w:rPr>
        <w:t xml:space="preserve"> </w:t>
      </w:r>
      <w:r>
        <w:t>the</w:t>
      </w:r>
      <w:r>
        <w:rPr>
          <w:spacing w:val="-3"/>
        </w:rPr>
        <w:t xml:space="preserve"> </w:t>
      </w:r>
      <w:r>
        <w:t>material U.S.</w:t>
      </w:r>
      <w:r>
        <w:rPr>
          <w:spacing w:val="-2"/>
        </w:rPr>
        <w:t xml:space="preserve"> </w:t>
      </w:r>
      <w:r>
        <w:t>operations</w:t>
      </w:r>
      <w:r>
        <w:rPr>
          <w:spacing w:val="-2"/>
        </w:rPr>
        <w:t xml:space="preserve"> </w:t>
      </w:r>
      <w:r>
        <w:t>of</w:t>
      </w:r>
      <w:r>
        <w:rPr>
          <w:spacing w:val="-3"/>
        </w:rPr>
        <w:t xml:space="preserve"> </w:t>
      </w:r>
      <w:r>
        <w:t>Banco</w:t>
      </w:r>
      <w:r>
        <w:rPr>
          <w:spacing w:val="-2"/>
        </w:rPr>
        <w:t xml:space="preserve"> </w:t>
      </w:r>
      <w:r>
        <w:t>Santander</w:t>
      </w:r>
      <w:r>
        <w:rPr>
          <w:spacing w:val="-3"/>
        </w:rPr>
        <w:t xml:space="preserve"> </w:t>
      </w:r>
      <w:r>
        <w:t>under</w:t>
      </w:r>
      <w:r>
        <w:rPr>
          <w:spacing w:val="-3"/>
        </w:rPr>
        <w:t xml:space="preserve"> </w:t>
      </w:r>
      <w:r>
        <w:t>hypothetical</w:t>
      </w:r>
      <w:r>
        <w:rPr>
          <w:spacing w:val="-2"/>
        </w:rPr>
        <w:t xml:space="preserve"> </w:t>
      </w:r>
      <w:r>
        <w:t>stress</w:t>
      </w:r>
      <w:r>
        <w:rPr>
          <w:spacing w:val="-2"/>
        </w:rPr>
        <w:t xml:space="preserve"> </w:t>
      </w:r>
      <w:r>
        <w:t>scenarios and the failure of one or more of its U.S. material entities (“U.S. MEs”). Material entities are defined as subsidiaries or foreign offices of Banco Santander that are significant to the activities of</w:t>
      </w:r>
      <w:r>
        <w:rPr>
          <w:spacing w:val="-1"/>
        </w:rPr>
        <w:t xml:space="preserve"> </w:t>
      </w:r>
      <w:r>
        <w:t>a</w:t>
      </w:r>
      <w:r>
        <w:rPr>
          <w:spacing w:val="-1"/>
        </w:rPr>
        <w:t xml:space="preserve"> </w:t>
      </w:r>
      <w:r>
        <w:t>critical operation or core</w:t>
      </w:r>
      <w:r>
        <w:rPr>
          <w:spacing w:val="-1"/>
        </w:rPr>
        <w:t xml:space="preserve"> </w:t>
      </w:r>
      <w:r>
        <w:t>business line. The U.S. MEs identified in the</w:t>
      </w:r>
      <w:r>
        <w:rPr>
          <w:spacing w:val="-1"/>
        </w:rPr>
        <w:t xml:space="preserve"> </w:t>
      </w:r>
      <w:r>
        <w:t>2022</w:t>
      </w:r>
      <w:r>
        <w:rPr>
          <w:spacing w:val="-1"/>
        </w:rPr>
        <w:t xml:space="preserve"> </w:t>
      </w:r>
      <w:r>
        <w:t>Resolution Plan include, among other entities, the Company, Santander Bank, N.A. (the “Bank”) and Santander Consumer USA Inc. (“Santander Consumer USA”). Santander Consumer USA is a wholly- owned subsidiary of Santander Consumer USA Holdings Inc.</w:t>
      </w:r>
    </w:p>
    <w:p w14:paraId="21989E51" w14:textId="77777777" w:rsidR="00493DFA" w:rsidRDefault="00493DFA">
      <w:pPr>
        <w:pStyle w:val="BodyText"/>
        <w:spacing w:before="10"/>
        <w:rPr>
          <w:sz w:val="20"/>
        </w:rPr>
      </w:pPr>
    </w:p>
    <w:p w14:paraId="76FE442B" w14:textId="0CF1DA45" w:rsidR="00493DFA" w:rsidRDefault="00E13B94">
      <w:pPr>
        <w:pStyle w:val="BodyText"/>
        <w:ind w:left="119" w:right="169" w:firstLine="856"/>
      </w:pPr>
      <w:r>
        <w:t>The 2022 Resolution Plan describes a strategy for resolving Banco Santander’s U.S. operations, including its U.S. MEs and the core business lines that operate within those U.S. MEs, in a manner that would substantially mitigate the risk that the resolutions would have serious adverse effects on U.S. or global financial stability. Under the 2022 Resolution Plan’s hypothetical</w:t>
      </w:r>
      <w:r>
        <w:rPr>
          <w:spacing w:val="-3"/>
        </w:rPr>
        <w:t xml:space="preserve"> </w:t>
      </w:r>
      <w:r>
        <w:t>resolutions</w:t>
      </w:r>
      <w:r>
        <w:rPr>
          <w:spacing w:val="-3"/>
        </w:rPr>
        <w:t xml:space="preserve"> </w:t>
      </w:r>
      <w:r>
        <w:t>of</w:t>
      </w:r>
      <w:r>
        <w:rPr>
          <w:spacing w:val="-4"/>
        </w:rPr>
        <w:t xml:space="preserve"> </w:t>
      </w:r>
      <w:r>
        <w:t>the</w:t>
      </w:r>
      <w:r>
        <w:rPr>
          <w:spacing w:val="-4"/>
        </w:rPr>
        <w:t xml:space="preserve"> </w:t>
      </w:r>
      <w:r>
        <w:t>U.S.</w:t>
      </w:r>
      <w:r>
        <w:rPr>
          <w:spacing w:val="-3"/>
        </w:rPr>
        <w:t xml:space="preserve"> </w:t>
      </w:r>
      <w:r>
        <w:t>MEs,</w:t>
      </w:r>
      <w:r>
        <w:rPr>
          <w:spacing w:val="-3"/>
        </w:rPr>
        <w:t xml:space="preserve"> </w:t>
      </w:r>
      <w:r>
        <w:t>the</w:t>
      </w:r>
      <w:r>
        <w:rPr>
          <w:spacing w:val="-4"/>
        </w:rPr>
        <w:t xml:space="preserve"> </w:t>
      </w:r>
      <w:r>
        <w:t>Bank</w:t>
      </w:r>
      <w:r>
        <w:rPr>
          <w:spacing w:val="-3"/>
        </w:rPr>
        <w:t xml:space="preserve"> </w:t>
      </w:r>
      <w:r>
        <w:t>would</w:t>
      </w:r>
      <w:r>
        <w:rPr>
          <w:spacing w:val="-3"/>
        </w:rPr>
        <w:t xml:space="preserve"> </w:t>
      </w:r>
      <w:r>
        <w:t>be</w:t>
      </w:r>
      <w:r>
        <w:rPr>
          <w:spacing w:val="-4"/>
        </w:rPr>
        <w:t xml:space="preserve"> </w:t>
      </w:r>
      <w:r>
        <w:t>placed</w:t>
      </w:r>
      <w:r>
        <w:rPr>
          <w:spacing w:val="-3"/>
        </w:rPr>
        <w:t xml:space="preserve"> </w:t>
      </w:r>
      <w:r>
        <w:t>into</w:t>
      </w:r>
      <w:r>
        <w:rPr>
          <w:spacing w:val="-1"/>
        </w:rPr>
        <w:t xml:space="preserve"> </w:t>
      </w:r>
      <w:r>
        <w:t>FDIC</w:t>
      </w:r>
      <w:r>
        <w:rPr>
          <w:spacing w:val="-1"/>
        </w:rPr>
        <w:t xml:space="preserve"> </w:t>
      </w:r>
      <w:r>
        <w:t>receivership</w:t>
      </w:r>
      <w:r>
        <w:rPr>
          <w:spacing w:val="-3"/>
        </w:rPr>
        <w:t xml:space="preserve"> </w:t>
      </w:r>
      <w:r>
        <w:t>and the Company and Santander Consumer USA would be placed into bankruptcy under Chapter 7 and Chapter 11 of the U.S. Bankruptcy Code, respectively.</w:t>
      </w:r>
    </w:p>
    <w:p w14:paraId="138A0F0C" w14:textId="77777777" w:rsidR="00493DFA" w:rsidRDefault="00493DFA">
      <w:pPr>
        <w:pStyle w:val="BodyText"/>
        <w:spacing w:before="10"/>
        <w:rPr>
          <w:sz w:val="20"/>
        </w:rPr>
      </w:pPr>
    </w:p>
    <w:p w14:paraId="327008B7" w14:textId="354F3367" w:rsidR="00493DFA" w:rsidRDefault="00E13B94">
      <w:pPr>
        <w:pStyle w:val="BodyText"/>
        <w:ind w:left="119"/>
      </w:pPr>
      <w:r>
        <w:t>The strategy described in the 2022 Resolution Plan contemplates a “multiple point of entry” strategy,</w:t>
      </w:r>
      <w:r>
        <w:rPr>
          <w:spacing w:val="-2"/>
        </w:rPr>
        <w:t xml:space="preserve"> </w:t>
      </w:r>
      <w:r>
        <w:t>in</w:t>
      </w:r>
      <w:r>
        <w:rPr>
          <w:spacing w:val="-2"/>
        </w:rPr>
        <w:t xml:space="preserve"> </w:t>
      </w:r>
      <w:r>
        <w:t>which</w:t>
      </w:r>
      <w:r>
        <w:rPr>
          <w:spacing w:val="-4"/>
        </w:rPr>
        <w:t xml:space="preserve"> </w:t>
      </w:r>
      <w:r>
        <w:t>Banco</w:t>
      </w:r>
      <w:r>
        <w:rPr>
          <w:spacing w:val="-3"/>
        </w:rPr>
        <w:t xml:space="preserve"> </w:t>
      </w:r>
      <w:r>
        <w:t>Santander</w:t>
      </w:r>
      <w:r>
        <w:rPr>
          <w:spacing w:val="-2"/>
        </w:rPr>
        <w:t xml:space="preserve"> </w:t>
      </w:r>
      <w:r>
        <w:t>and</w:t>
      </w:r>
      <w:r>
        <w:rPr>
          <w:spacing w:val="-3"/>
        </w:rPr>
        <w:t xml:space="preserve"> </w:t>
      </w:r>
      <w:r>
        <w:t>the</w:t>
      </w:r>
      <w:r>
        <w:rPr>
          <w:spacing w:val="-2"/>
        </w:rPr>
        <w:t xml:space="preserve"> </w:t>
      </w:r>
      <w:r>
        <w:t>Company</w:t>
      </w:r>
      <w:r>
        <w:rPr>
          <w:spacing w:val="-8"/>
        </w:rPr>
        <w:t xml:space="preserve"> </w:t>
      </w:r>
      <w:r>
        <w:t>would</w:t>
      </w:r>
      <w:r>
        <w:rPr>
          <w:spacing w:val="-8"/>
        </w:rPr>
        <w:t xml:space="preserve"> </w:t>
      </w:r>
      <w:r>
        <w:t>each</w:t>
      </w:r>
      <w:r>
        <w:rPr>
          <w:spacing w:val="-8"/>
        </w:rPr>
        <w:t xml:space="preserve"> </w:t>
      </w:r>
      <w:r>
        <w:t>undergo</w:t>
      </w:r>
      <w:r>
        <w:rPr>
          <w:spacing w:val="-8"/>
        </w:rPr>
        <w:t xml:space="preserve"> </w:t>
      </w:r>
      <w:r>
        <w:t>separate</w:t>
      </w:r>
      <w:r>
        <w:rPr>
          <w:spacing w:val="-8"/>
        </w:rPr>
        <w:t xml:space="preserve"> </w:t>
      </w:r>
      <w:r>
        <w:t>resolution proceedings under European regulations and the U.S. Bankruptcy Code, respectively. In a</w:t>
      </w:r>
    </w:p>
    <w:p w14:paraId="0F0B27A7" w14:textId="77777777" w:rsidR="00493DFA" w:rsidRDefault="00493DFA">
      <w:pPr>
        <w:sectPr w:rsidR="00493DFA">
          <w:headerReference w:type="even" r:id="rId7"/>
          <w:headerReference w:type="default" r:id="rId8"/>
          <w:footerReference w:type="even" r:id="rId9"/>
          <w:footerReference w:type="default" r:id="rId10"/>
          <w:headerReference w:type="first" r:id="rId11"/>
          <w:footerReference w:type="first" r:id="rId12"/>
          <w:type w:val="continuous"/>
          <w:pgSz w:w="12240" w:h="15840"/>
          <w:pgMar w:top="920" w:right="1340" w:bottom="280" w:left="1320" w:header="720" w:footer="720" w:gutter="0"/>
          <w:cols w:space="720"/>
        </w:sectPr>
      </w:pPr>
    </w:p>
    <w:p w14:paraId="39FCFCF9" w14:textId="77777777" w:rsidR="00493DFA" w:rsidRDefault="00E13B94">
      <w:pPr>
        <w:pStyle w:val="BodyText"/>
        <w:spacing w:before="63"/>
        <w:ind w:left="120" w:right="57"/>
      </w:pPr>
      <w:r>
        <w:lastRenderedPageBreak/>
        <w:t>scenario in which the Bank and Santander Consumer USA were in resolution, the Company would file a voluntary</w:t>
      </w:r>
      <w:r>
        <w:rPr>
          <w:spacing w:val="-3"/>
        </w:rPr>
        <w:t xml:space="preserve"> </w:t>
      </w:r>
      <w:r>
        <w:t>petition under Chapter 7 of the U.S. Bankruptcy</w:t>
      </w:r>
      <w:r>
        <w:rPr>
          <w:spacing w:val="-3"/>
        </w:rPr>
        <w:t xml:space="preserve"> </w:t>
      </w:r>
      <w:r>
        <w:t>Code, and holders of our LTD</w:t>
      </w:r>
      <w:r>
        <w:rPr>
          <w:spacing w:val="-1"/>
        </w:rPr>
        <w:t xml:space="preserve"> </w:t>
      </w:r>
      <w:r>
        <w:t>and</w:t>
      </w:r>
      <w:r>
        <w:rPr>
          <w:spacing w:val="-2"/>
        </w:rPr>
        <w:t xml:space="preserve"> </w:t>
      </w:r>
      <w:r>
        <w:t>other</w:t>
      </w:r>
      <w:r>
        <w:rPr>
          <w:spacing w:val="-3"/>
        </w:rPr>
        <w:t xml:space="preserve"> </w:t>
      </w:r>
      <w:r>
        <w:t>debt</w:t>
      </w:r>
      <w:r>
        <w:rPr>
          <w:spacing w:val="-2"/>
        </w:rPr>
        <w:t xml:space="preserve"> </w:t>
      </w:r>
      <w:r>
        <w:t>securities</w:t>
      </w:r>
      <w:r>
        <w:rPr>
          <w:spacing w:val="-2"/>
        </w:rPr>
        <w:t xml:space="preserve"> </w:t>
      </w:r>
      <w:r>
        <w:t>would</w:t>
      </w:r>
      <w:r>
        <w:rPr>
          <w:spacing w:val="-2"/>
        </w:rPr>
        <w:t xml:space="preserve"> </w:t>
      </w:r>
      <w:r>
        <w:t>be</w:t>
      </w:r>
      <w:r>
        <w:rPr>
          <w:spacing w:val="-3"/>
        </w:rPr>
        <w:t xml:space="preserve"> </w:t>
      </w:r>
      <w:r>
        <w:t>junior</w:t>
      </w:r>
      <w:r>
        <w:rPr>
          <w:spacing w:val="-3"/>
        </w:rPr>
        <w:t xml:space="preserve"> </w:t>
      </w:r>
      <w:r>
        <w:t>to</w:t>
      </w:r>
      <w:r>
        <w:rPr>
          <w:spacing w:val="-2"/>
        </w:rPr>
        <w:t xml:space="preserve"> </w:t>
      </w:r>
      <w:r>
        <w:t>the</w:t>
      </w:r>
      <w:r>
        <w:rPr>
          <w:spacing w:val="-3"/>
        </w:rPr>
        <w:t xml:space="preserve"> </w:t>
      </w:r>
      <w:r>
        <w:t>claims</w:t>
      </w:r>
      <w:r>
        <w:rPr>
          <w:spacing w:val="-2"/>
        </w:rPr>
        <w:t xml:space="preserve"> </w:t>
      </w:r>
      <w:r>
        <w:t>of</w:t>
      </w:r>
      <w:r>
        <w:rPr>
          <w:spacing w:val="-3"/>
        </w:rPr>
        <w:t xml:space="preserve"> </w:t>
      </w:r>
      <w:r>
        <w:t>priority</w:t>
      </w:r>
      <w:r>
        <w:rPr>
          <w:spacing w:val="-7"/>
        </w:rPr>
        <w:t xml:space="preserve"> </w:t>
      </w:r>
      <w:r>
        <w:t>(as determined</w:t>
      </w:r>
      <w:r>
        <w:rPr>
          <w:spacing w:val="-2"/>
        </w:rPr>
        <w:t xml:space="preserve"> </w:t>
      </w:r>
      <w:r>
        <w:t>by</w:t>
      </w:r>
      <w:r>
        <w:rPr>
          <w:spacing w:val="-7"/>
        </w:rPr>
        <w:t xml:space="preserve"> </w:t>
      </w:r>
      <w:r>
        <w:t>statute) and secured creditors of the Company.</w:t>
      </w:r>
    </w:p>
    <w:p w14:paraId="3981A4FD" w14:textId="77777777" w:rsidR="00493DFA" w:rsidRDefault="00493DFA">
      <w:pPr>
        <w:pStyle w:val="BodyText"/>
        <w:spacing w:before="7"/>
        <w:rPr>
          <w:sz w:val="20"/>
        </w:rPr>
      </w:pPr>
    </w:p>
    <w:p w14:paraId="3DA35128" w14:textId="77777777" w:rsidR="00493DFA" w:rsidRDefault="00E13B94">
      <w:pPr>
        <w:pStyle w:val="BodyText"/>
        <w:spacing w:before="1"/>
        <w:ind w:left="120" w:right="142" w:firstLine="856"/>
      </w:pPr>
      <w:r>
        <w:t>The Company, the Federal Reserve and the FDIC are not obligated to follow the Company’s preferred resolution strategy for resolving its U.S. operations under its resolution plan.</w:t>
      </w:r>
      <w:r>
        <w:rPr>
          <w:spacing w:val="-1"/>
        </w:rPr>
        <w:t xml:space="preserve"> </w:t>
      </w:r>
      <w:r>
        <w:t>In</w:t>
      </w:r>
      <w:r>
        <w:rPr>
          <w:spacing w:val="-1"/>
        </w:rPr>
        <w:t xml:space="preserve"> </w:t>
      </w:r>
      <w:r>
        <w:t>addition,</w:t>
      </w:r>
      <w:r>
        <w:rPr>
          <w:spacing w:val="-3"/>
        </w:rPr>
        <w:t xml:space="preserve"> </w:t>
      </w:r>
      <w:r>
        <w:t>Banco</w:t>
      </w:r>
      <w:r>
        <w:rPr>
          <w:spacing w:val="-1"/>
        </w:rPr>
        <w:t xml:space="preserve"> </w:t>
      </w:r>
      <w:r>
        <w:t>Santander</w:t>
      </w:r>
      <w:r>
        <w:rPr>
          <w:spacing w:val="-4"/>
        </w:rPr>
        <w:t xml:space="preserve"> </w:t>
      </w:r>
      <w:r>
        <w:t>could</w:t>
      </w:r>
      <w:r>
        <w:rPr>
          <w:spacing w:val="-3"/>
        </w:rPr>
        <w:t xml:space="preserve"> </w:t>
      </w:r>
      <w:r>
        <w:t>in</w:t>
      </w:r>
      <w:r>
        <w:rPr>
          <w:spacing w:val="-3"/>
        </w:rPr>
        <w:t xml:space="preserve"> </w:t>
      </w:r>
      <w:r>
        <w:t>the</w:t>
      </w:r>
      <w:r>
        <w:rPr>
          <w:spacing w:val="-4"/>
        </w:rPr>
        <w:t xml:space="preserve"> </w:t>
      </w:r>
      <w:r>
        <w:t>future</w:t>
      </w:r>
      <w:r>
        <w:rPr>
          <w:spacing w:val="-4"/>
        </w:rPr>
        <w:t xml:space="preserve"> </w:t>
      </w:r>
      <w:r>
        <w:t>change</w:t>
      </w:r>
      <w:r>
        <w:rPr>
          <w:spacing w:val="-4"/>
        </w:rPr>
        <w:t xml:space="preserve"> </w:t>
      </w:r>
      <w:r>
        <w:t>its</w:t>
      </w:r>
      <w:r>
        <w:rPr>
          <w:spacing w:val="-3"/>
        </w:rPr>
        <w:t xml:space="preserve"> </w:t>
      </w:r>
      <w:r>
        <w:t>resolution</w:t>
      </w:r>
      <w:r>
        <w:rPr>
          <w:spacing w:val="-3"/>
        </w:rPr>
        <w:t xml:space="preserve"> </w:t>
      </w:r>
      <w:r>
        <w:t>strategy</w:t>
      </w:r>
      <w:r>
        <w:rPr>
          <w:spacing w:val="-8"/>
        </w:rPr>
        <w:t xml:space="preserve"> </w:t>
      </w:r>
      <w:r>
        <w:t>for</w:t>
      </w:r>
      <w:r>
        <w:rPr>
          <w:spacing w:val="-4"/>
        </w:rPr>
        <w:t xml:space="preserve"> </w:t>
      </w:r>
      <w:r>
        <w:t>resolving its U.S. operations. In an alternative scenario, the Company alone could enter bankruptcy under the U.S. Bankruptcy Code, and the Company’s subsidiaries would be recapitalized as needed using</w:t>
      </w:r>
      <w:r>
        <w:rPr>
          <w:spacing w:val="-4"/>
        </w:rPr>
        <w:t xml:space="preserve"> </w:t>
      </w:r>
      <w:r>
        <w:t>assets</w:t>
      </w:r>
      <w:r>
        <w:rPr>
          <w:spacing w:val="-1"/>
        </w:rPr>
        <w:t xml:space="preserve"> </w:t>
      </w:r>
      <w:r>
        <w:t>of</w:t>
      </w:r>
      <w:r>
        <w:rPr>
          <w:spacing w:val="-2"/>
        </w:rPr>
        <w:t xml:space="preserve"> </w:t>
      </w:r>
      <w:r>
        <w:t>the</w:t>
      </w:r>
      <w:r>
        <w:rPr>
          <w:spacing w:val="-2"/>
        </w:rPr>
        <w:t xml:space="preserve"> </w:t>
      </w:r>
      <w:r>
        <w:t>Company,</w:t>
      </w:r>
      <w:r>
        <w:rPr>
          <w:spacing w:val="-1"/>
        </w:rPr>
        <w:t xml:space="preserve"> </w:t>
      </w:r>
      <w:r>
        <w:t>so</w:t>
      </w:r>
      <w:r>
        <w:rPr>
          <w:spacing w:val="-1"/>
        </w:rPr>
        <w:t xml:space="preserve"> </w:t>
      </w:r>
      <w:r>
        <w:t>that</w:t>
      </w:r>
      <w:r>
        <w:rPr>
          <w:spacing w:val="-1"/>
        </w:rPr>
        <w:t xml:space="preserve"> </w:t>
      </w:r>
      <w:r>
        <w:t>they</w:t>
      </w:r>
      <w:r>
        <w:rPr>
          <w:spacing w:val="-4"/>
        </w:rPr>
        <w:t xml:space="preserve"> </w:t>
      </w:r>
      <w:r>
        <w:t>could</w:t>
      </w:r>
      <w:r>
        <w:rPr>
          <w:spacing w:val="-1"/>
        </w:rPr>
        <w:t xml:space="preserve"> </w:t>
      </w:r>
      <w:r>
        <w:t>continue</w:t>
      </w:r>
      <w:r>
        <w:rPr>
          <w:spacing w:val="-2"/>
        </w:rPr>
        <w:t xml:space="preserve"> </w:t>
      </w:r>
      <w:r>
        <w:t>normal</w:t>
      </w:r>
      <w:r>
        <w:rPr>
          <w:spacing w:val="-1"/>
        </w:rPr>
        <w:t xml:space="preserve"> </w:t>
      </w:r>
      <w:r>
        <w:t>operations as</w:t>
      </w:r>
      <w:r>
        <w:rPr>
          <w:spacing w:val="-1"/>
        </w:rPr>
        <w:t xml:space="preserve"> </w:t>
      </w:r>
      <w:r>
        <w:t>going</w:t>
      </w:r>
      <w:r>
        <w:rPr>
          <w:spacing w:val="-1"/>
        </w:rPr>
        <w:t xml:space="preserve"> </w:t>
      </w:r>
      <w:r>
        <w:t>concerns</w:t>
      </w:r>
      <w:r>
        <w:rPr>
          <w:spacing w:val="-1"/>
        </w:rPr>
        <w:t xml:space="preserve"> </w:t>
      </w:r>
      <w:r>
        <w:t>or subsequently be wound down in an orderly manner. As a result, the losses incurred by the Company and its subsidiaries would be imposed first on the holders of the Company’s equity securities and thereafter on unsecured creditors, including holders of our LTD and other debt securities. Holders of our LTD and other debt securities would be junior to the claims of creditors of the Company’s subsidiaries and to the claims of priority (as determined by statute) and secured creditors of the Company. Under either of these scenarios, in a resolution of the Company under Chapter 11 of the U.S. Bankruptcy Code, holders of our LTD and other debt securities</w:t>
      </w:r>
      <w:r>
        <w:rPr>
          <w:spacing w:val="-2"/>
        </w:rPr>
        <w:t xml:space="preserve"> </w:t>
      </w:r>
      <w:r>
        <w:t>would</w:t>
      </w:r>
      <w:r>
        <w:rPr>
          <w:spacing w:val="-2"/>
        </w:rPr>
        <w:t xml:space="preserve"> </w:t>
      </w:r>
      <w:r>
        <w:t>realize</w:t>
      </w:r>
      <w:r>
        <w:rPr>
          <w:spacing w:val="-3"/>
        </w:rPr>
        <w:t xml:space="preserve"> </w:t>
      </w:r>
      <w:r>
        <w:t>value</w:t>
      </w:r>
      <w:r>
        <w:rPr>
          <w:spacing w:val="-3"/>
        </w:rPr>
        <w:t xml:space="preserve"> </w:t>
      </w:r>
      <w:r>
        <w:t>only</w:t>
      </w:r>
      <w:r>
        <w:rPr>
          <w:spacing w:val="-7"/>
        </w:rPr>
        <w:t xml:space="preserve"> </w:t>
      </w:r>
      <w:r>
        <w:t>to</w:t>
      </w:r>
      <w:r>
        <w:rPr>
          <w:spacing w:val="-2"/>
        </w:rPr>
        <w:t xml:space="preserve"> </w:t>
      </w:r>
      <w:r>
        <w:t>the</w:t>
      </w:r>
      <w:r>
        <w:rPr>
          <w:spacing w:val="-1"/>
        </w:rPr>
        <w:t xml:space="preserve"> </w:t>
      </w:r>
      <w:r>
        <w:t>extent</w:t>
      </w:r>
      <w:r>
        <w:rPr>
          <w:spacing w:val="-2"/>
        </w:rPr>
        <w:t xml:space="preserve"> </w:t>
      </w:r>
      <w:r>
        <w:t>available</w:t>
      </w:r>
      <w:r>
        <w:rPr>
          <w:spacing w:val="-3"/>
        </w:rPr>
        <w:t xml:space="preserve"> </w:t>
      </w:r>
      <w:r>
        <w:t>to</w:t>
      </w:r>
      <w:r>
        <w:rPr>
          <w:spacing w:val="-2"/>
        </w:rPr>
        <w:t xml:space="preserve"> </w:t>
      </w:r>
      <w:r>
        <w:t>the</w:t>
      </w:r>
      <w:r>
        <w:rPr>
          <w:spacing w:val="-3"/>
        </w:rPr>
        <w:t xml:space="preserve"> </w:t>
      </w:r>
      <w:r>
        <w:t>Company</w:t>
      </w:r>
      <w:r>
        <w:rPr>
          <w:spacing w:val="-5"/>
        </w:rPr>
        <w:t xml:space="preserve"> </w:t>
      </w:r>
      <w:r>
        <w:t>as</w:t>
      </w:r>
      <w:r>
        <w:rPr>
          <w:spacing w:val="-2"/>
        </w:rPr>
        <w:t xml:space="preserve"> </w:t>
      </w:r>
      <w:r>
        <w:t>a</w:t>
      </w:r>
      <w:r>
        <w:rPr>
          <w:spacing w:val="-3"/>
        </w:rPr>
        <w:t xml:space="preserve"> </w:t>
      </w:r>
      <w:r>
        <w:t>shareholder</w:t>
      </w:r>
      <w:r>
        <w:rPr>
          <w:spacing w:val="-3"/>
        </w:rPr>
        <w:t xml:space="preserve"> </w:t>
      </w:r>
      <w:r>
        <w:t>of</w:t>
      </w:r>
      <w:r>
        <w:rPr>
          <w:spacing w:val="-3"/>
        </w:rPr>
        <w:t xml:space="preserve"> </w:t>
      </w:r>
      <w:r>
        <w:t>the Bank, Santander Consumer USA and its other subsidiaries, and only after any claims of priority and secured creditors of the Company have been fully repaid.</w:t>
      </w:r>
    </w:p>
    <w:p w14:paraId="3D6D3DCE" w14:textId="77777777" w:rsidR="00493DFA" w:rsidRDefault="00493DFA">
      <w:pPr>
        <w:pStyle w:val="BodyText"/>
      </w:pPr>
    </w:p>
    <w:p w14:paraId="22E8CC3F" w14:textId="77777777" w:rsidR="00493DFA" w:rsidRDefault="00E13B94">
      <w:pPr>
        <w:pStyle w:val="BodyText"/>
        <w:ind w:left="119" w:right="169" w:firstLine="856"/>
      </w:pPr>
      <w:r>
        <w:t>In</w:t>
      </w:r>
      <w:r>
        <w:rPr>
          <w:spacing w:val="-3"/>
        </w:rPr>
        <w:t xml:space="preserve"> </w:t>
      </w:r>
      <w:r>
        <w:t>December</w:t>
      </w:r>
      <w:r>
        <w:rPr>
          <w:spacing w:val="-5"/>
        </w:rPr>
        <w:t xml:space="preserve"> </w:t>
      </w:r>
      <w:r>
        <w:t>2016,</w:t>
      </w:r>
      <w:r>
        <w:rPr>
          <w:spacing w:val="-4"/>
        </w:rPr>
        <w:t xml:space="preserve"> </w:t>
      </w:r>
      <w:r>
        <w:t>the</w:t>
      </w:r>
      <w:r>
        <w:rPr>
          <w:spacing w:val="-3"/>
        </w:rPr>
        <w:t xml:space="preserve"> </w:t>
      </w:r>
      <w:r>
        <w:t>Federal</w:t>
      </w:r>
      <w:r>
        <w:rPr>
          <w:spacing w:val="-4"/>
        </w:rPr>
        <w:t xml:space="preserve"> </w:t>
      </w:r>
      <w:r>
        <w:t>Reserve</w:t>
      </w:r>
      <w:r>
        <w:rPr>
          <w:spacing w:val="-3"/>
        </w:rPr>
        <w:t xml:space="preserve"> </w:t>
      </w:r>
      <w:r>
        <w:t>finalized</w:t>
      </w:r>
      <w:r>
        <w:rPr>
          <w:spacing w:val="-4"/>
        </w:rPr>
        <w:t xml:space="preserve"> </w:t>
      </w:r>
      <w:r>
        <w:t>rules</w:t>
      </w:r>
      <w:r>
        <w:rPr>
          <w:spacing w:val="-4"/>
        </w:rPr>
        <w:t xml:space="preserve"> </w:t>
      </w:r>
      <w:r>
        <w:t>requiring</w:t>
      </w:r>
      <w:r>
        <w:rPr>
          <w:spacing w:val="-4"/>
        </w:rPr>
        <w:t xml:space="preserve"> </w:t>
      </w:r>
      <w:r>
        <w:t>IHCs</w:t>
      </w:r>
      <w:r>
        <w:rPr>
          <w:spacing w:val="-4"/>
        </w:rPr>
        <w:t xml:space="preserve"> </w:t>
      </w:r>
      <w:r>
        <w:t>of</w:t>
      </w:r>
      <w:r>
        <w:rPr>
          <w:spacing w:val="-3"/>
        </w:rPr>
        <w:t xml:space="preserve"> </w:t>
      </w:r>
      <w:r>
        <w:t>foreign</w:t>
      </w:r>
      <w:r>
        <w:rPr>
          <w:spacing w:val="-2"/>
        </w:rPr>
        <w:t xml:space="preserve"> </w:t>
      </w:r>
      <w:r>
        <w:t>global systemically important banks, including the Company, to maintain minimum amounts of LTD and TLAC. It is possible that the Company’s resolution strategy in connection with the implementation</w:t>
      </w:r>
      <w:r>
        <w:rPr>
          <w:spacing w:val="-3"/>
        </w:rPr>
        <w:t xml:space="preserve"> </w:t>
      </w:r>
      <w:r>
        <w:t>of</w:t>
      </w:r>
      <w:r>
        <w:rPr>
          <w:spacing w:val="-3"/>
        </w:rPr>
        <w:t xml:space="preserve"> </w:t>
      </w:r>
      <w:r>
        <w:t>those</w:t>
      </w:r>
      <w:r>
        <w:rPr>
          <w:spacing w:val="-4"/>
        </w:rPr>
        <w:t xml:space="preserve"> </w:t>
      </w:r>
      <w:r>
        <w:t>rules,</w:t>
      </w:r>
      <w:r>
        <w:rPr>
          <w:spacing w:val="-3"/>
        </w:rPr>
        <w:t xml:space="preserve"> </w:t>
      </w:r>
      <w:r>
        <w:t>effective</w:t>
      </w:r>
      <w:r>
        <w:rPr>
          <w:spacing w:val="-3"/>
        </w:rPr>
        <w:t xml:space="preserve"> </w:t>
      </w:r>
      <w:r>
        <w:t>on</w:t>
      </w:r>
      <w:r>
        <w:rPr>
          <w:spacing w:val="-3"/>
        </w:rPr>
        <w:t xml:space="preserve"> </w:t>
      </w:r>
      <w:r>
        <w:t>January</w:t>
      </w:r>
      <w:r>
        <w:rPr>
          <w:spacing w:val="-5"/>
        </w:rPr>
        <w:t xml:space="preserve"> </w:t>
      </w:r>
      <w:r>
        <w:t>1,</w:t>
      </w:r>
      <w:r>
        <w:rPr>
          <w:spacing w:val="-3"/>
        </w:rPr>
        <w:t xml:space="preserve"> </w:t>
      </w:r>
      <w:r>
        <w:t>2019,</w:t>
      </w:r>
      <w:r>
        <w:rPr>
          <w:spacing w:val="-3"/>
        </w:rPr>
        <w:t xml:space="preserve"> </w:t>
      </w:r>
      <w:r>
        <w:t>could</w:t>
      </w:r>
      <w:r>
        <w:rPr>
          <w:spacing w:val="-1"/>
        </w:rPr>
        <w:t xml:space="preserve"> </w:t>
      </w:r>
      <w:r>
        <w:t>change</w:t>
      </w:r>
      <w:r>
        <w:rPr>
          <w:spacing w:val="-2"/>
        </w:rPr>
        <w:t xml:space="preserve"> </w:t>
      </w:r>
      <w:r>
        <w:t>on</w:t>
      </w:r>
      <w:r>
        <w:rPr>
          <w:spacing w:val="-3"/>
        </w:rPr>
        <w:t xml:space="preserve"> </w:t>
      </w:r>
      <w:r>
        <w:t>or</w:t>
      </w:r>
      <w:r>
        <w:rPr>
          <w:spacing w:val="-3"/>
        </w:rPr>
        <w:t xml:space="preserve"> </w:t>
      </w:r>
      <w:r>
        <w:t>before</w:t>
      </w:r>
      <w:r>
        <w:rPr>
          <w:spacing w:val="-4"/>
        </w:rPr>
        <w:t xml:space="preserve"> </w:t>
      </w:r>
      <w:r>
        <w:t>that</w:t>
      </w:r>
      <w:r>
        <w:rPr>
          <w:spacing w:val="-3"/>
        </w:rPr>
        <w:t xml:space="preserve"> </w:t>
      </w:r>
      <w:r>
        <w:t>date. Further, even if Banco Santander’s and the Company’s strategy</w:t>
      </w:r>
      <w:r>
        <w:rPr>
          <w:spacing w:val="-2"/>
        </w:rPr>
        <w:t xml:space="preserve"> </w:t>
      </w:r>
      <w:r>
        <w:t>for resolving</w:t>
      </w:r>
      <w:r>
        <w:rPr>
          <w:spacing w:val="-2"/>
        </w:rPr>
        <w:t xml:space="preserve"> </w:t>
      </w:r>
      <w:r>
        <w:t>its U.S. operations does not change, it is possible that the Federal Reserve or the FDIC could choose not to follow the current strategy.</w:t>
      </w:r>
    </w:p>
    <w:p w14:paraId="57F06081" w14:textId="77777777" w:rsidR="00493DFA" w:rsidRDefault="00493DFA">
      <w:pPr>
        <w:pStyle w:val="BodyText"/>
        <w:spacing w:before="10"/>
        <w:rPr>
          <w:sz w:val="20"/>
        </w:rPr>
      </w:pPr>
    </w:p>
    <w:p w14:paraId="3BB329FA" w14:textId="77777777" w:rsidR="00493DFA" w:rsidRDefault="00E13B94">
      <w:pPr>
        <w:ind w:left="120"/>
        <w:rPr>
          <w:i/>
          <w:sz w:val="24"/>
        </w:rPr>
      </w:pPr>
      <w:r>
        <w:rPr>
          <w:i/>
          <w:sz w:val="24"/>
        </w:rPr>
        <w:t>The</w:t>
      </w:r>
      <w:r>
        <w:rPr>
          <w:i/>
          <w:spacing w:val="-4"/>
          <w:sz w:val="24"/>
        </w:rPr>
        <w:t xml:space="preserve"> </w:t>
      </w:r>
      <w:r>
        <w:rPr>
          <w:i/>
          <w:sz w:val="24"/>
        </w:rPr>
        <w:t>resolution</w:t>
      </w:r>
      <w:r>
        <w:rPr>
          <w:i/>
          <w:spacing w:val="-3"/>
          <w:sz w:val="24"/>
        </w:rPr>
        <w:t xml:space="preserve"> </w:t>
      </w:r>
      <w:r>
        <w:rPr>
          <w:i/>
          <w:sz w:val="24"/>
        </w:rPr>
        <w:t>of</w:t>
      </w:r>
      <w:r>
        <w:rPr>
          <w:i/>
          <w:spacing w:val="-3"/>
          <w:sz w:val="24"/>
        </w:rPr>
        <w:t xml:space="preserve"> </w:t>
      </w:r>
      <w:r>
        <w:rPr>
          <w:i/>
          <w:sz w:val="24"/>
        </w:rPr>
        <w:t>the</w:t>
      </w:r>
      <w:r>
        <w:rPr>
          <w:i/>
          <w:spacing w:val="-4"/>
          <w:sz w:val="24"/>
        </w:rPr>
        <w:t xml:space="preserve"> </w:t>
      </w:r>
      <w:r>
        <w:rPr>
          <w:i/>
          <w:sz w:val="24"/>
        </w:rPr>
        <w:t>Company</w:t>
      </w:r>
      <w:r>
        <w:rPr>
          <w:i/>
          <w:spacing w:val="-4"/>
          <w:sz w:val="24"/>
        </w:rPr>
        <w:t xml:space="preserve"> </w:t>
      </w:r>
      <w:r>
        <w:rPr>
          <w:i/>
          <w:sz w:val="24"/>
        </w:rPr>
        <w:t>under</w:t>
      </w:r>
      <w:r>
        <w:rPr>
          <w:i/>
          <w:spacing w:val="-3"/>
          <w:sz w:val="24"/>
        </w:rPr>
        <w:t xml:space="preserve"> </w:t>
      </w:r>
      <w:r>
        <w:rPr>
          <w:i/>
          <w:sz w:val="24"/>
        </w:rPr>
        <w:t>the</w:t>
      </w:r>
      <w:r>
        <w:rPr>
          <w:i/>
          <w:spacing w:val="-4"/>
          <w:sz w:val="24"/>
        </w:rPr>
        <w:t xml:space="preserve"> </w:t>
      </w:r>
      <w:r>
        <w:rPr>
          <w:i/>
          <w:sz w:val="24"/>
        </w:rPr>
        <w:t>orderly</w:t>
      </w:r>
      <w:r>
        <w:rPr>
          <w:i/>
          <w:spacing w:val="-2"/>
          <w:sz w:val="24"/>
        </w:rPr>
        <w:t xml:space="preserve"> </w:t>
      </w:r>
      <w:r>
        <w:rPr>
          <w:i/>
          <w:sz w:val="24"/>
        </w:rPr>
        <w:t>liquidation</w:t>
      </w:r>
      <w:r>
        <w:rPr>
          <w:i/>
          <w:spacing w:val="-3"/>
          <w:sz w:val="24"/>
        </w:rPr>
        <w:t xml:space="preserve"> </w:t>
      </w:r>
      <w:r>
        <w:rPr>
          <w:i/>
          <w:sz w:val="24"/>
        </w:rPr>
        <w:t>authority</w:t>
      </w:r>
      <w:r>
        <w:rPr>
          <w:i/>
          <w:spacing w:val="-4"/>
          <w:sz w:val="24"/>
        </w:rPr>
        <w:t xml:space="preserve"> </w:t>
      </w:r>
      <w:r>
        <w:rPr>
          <w:i/>
          <w:sz w:val="24"/>
        </w:rPr>
        <w:t>could</w:t>
      </w:r>
      <w:r>
        <w:rPr>
          <w:i/>
          <w:spacing w:val="-3"/>
          <w:sz w:val="24"/>
        </w:rPr>
        <w:t xml:space="preserve"> </w:t>
      </w:r>
      <w:r>
        <w:rPr>
          <w:i/>
          <w:sz w:val="24"/>
        </w:rPr>
        <w:t>result</w:t>
      </w:r>
      <w:r>
        <w:rPr>
          <w:i/>
          <w:spacing w:val="-3"/>
          <w:sz w:val="24"/>
        </w:rPr>
        <w:t xml:space="preserve"> </w:t>
      </w:r>
      <w:r>
        <w:rPr>
          <w:i/>
          <w:sz w:val="24"/>
        </w:rPr>
        <w:t>in</w:t>
      </w:r>
      <w:r>
        <w:rPr>
          <w:i/>
          <w:spacing w:val="-3"/>
          <w:sz w:val="24"/>
        </w:rPr>
        <w:t xml:space="preserve"> </w:t>
      </w:r>
      <w:r>
        <w:rPr>
          <w:i/>
          <w:sz w:val="24"/>
        </w:rPr>
        <w:t>greater losses for holders of our securities.</w:t>
      </w:r>
    </w:p>
    <w:p w14:paraId="635E31FC" w14:textId="77777777" w:rsidR="00493DFA" w:rsidRDefault="00493DFA">
      <w:pPr>
        <w:pStyle w:val="BodyText"/>
        <w:spacing w:before="10"/>
        <w:rPr>
          <w:i/>
          <w:sz w:val="20"/>
        </w:rPr>
      </w:pPr>
    </w:p>
    <w:p w14:paraId="2FB08C68" w14:textId="77777777" w:rsidR="00493DFA" w:rsidRDefault="00E13B94">
      <w:pPr>
        <w:pStyle w:val="BodyText"/>
        <w:ind w:left="120" w:right="169" w:firstLine="856"/>
      </w:pPr>
      <w:r>
        <w:t>The ability of holders of our LTD and other debt securities to recover the full amount that</w:t>
      </w:r>
      <w:r>
        <w:rPr>
          <w:spacing w:val="-3"/>
        </w:rPr>
        <w:t xml:space="preserve"> </w:t>
      </w:r>
      <w:r>
        <w:t>would</w:t>
      </w:r>
      <w:r>
        <w:rPr>
          <w:spacing w:val="-3"/>
        </w:rPr>
        <w:t xml:space="preserve"> </w:t>
      </w:r>
      <w:r>
        <w:t>otherwise</w:t>
      </w:r>
      <w:r>
        <w:rPr>
          <w:spacing w:val="-4"/>
        </w:rPr>
        <w:t xml:space="preserve"> </w:t>
      </w:r>
      <w:r>
        <w:t>be</w:t>
      </w:r>
      <w:r>
        <w:rPr>
          <w:spacing w:val="-2"/>
        </w:rPr>
        <w:t xml:space="preserve"> </w:t>
      </w:r>
      <w:r>
        <w:t>payable</w:t>
      </w:r>
      <w:r>
        <w:rPr>
          <w:spacing w:val="-4"/>
        </w:rPr>
        <w:t xml:space="preserve"> </w:t>
      </w:r>
      <w:r>
        <w:t>on</w:t>
      </w:r>
      <w:r>
        <w:rPr>
          <w:spacing w:val="-3"/>
        </w:rPr>
        <w:t xml:space="preserve"> </w:t>
      </w:r>
      <w:r>
        <w:t>those</w:t>
      </w:r>
      <w:r>
        <w:rPr>
          <w:spacing w:val="-4"/>
        </w:rPr>
        <w:t xml:space="preserve"> </w:t>
      </w:r>
      <w:r>
        <w:t>securities</w:t>
      </w:r>
      <w:r>
        <w:rPr>
          <w:spacing w:val="-3"/>
        </w:rPr>
        <w:t xml:space="preserve"> </w:t>
      </w:r>
      <w:r>
        <w:t>in</w:t>
      </w:r>
      <w:r>
        <w:rPr>
          <w:spacing w:val="-3"/>
        </w:rPr>
        <w:t xml:space="preserve"> </w:t>
      </w:r>
      <w:r>
        <w:t>a</w:t>
      </w:r>
      <w:r>
        <w:rPr>
          <w:spacing w:val="-4"/>
        </w:rPr>
        <w:t xml:space="preserve"> </w:t>
      </w:r>
      <w:r>
        <w:t>resolution</w:t>
      </w:r>
      <w:r>
        <w:rPr>
          <w:spacing w:val="-3"/>
        </w:rPr>
        <w:t xml:space="preserve"> </w:t>
      </w:r>
      <w:r>
        <w:t>proceeding</w:t>
      </w:r>
      <w:r>
        <w:rPr>
          <w:spacing w:val="-6"/>
        </w:rPr>
        <w:t xml:space="preserve"> </w:t>
      </w:r>
      <w:r>
        <w:t>under</w:t>
      </w:r>
      <w:r>
        <w:rPr>
          <w:spacing w:val="-2"/>
        </w:rPr>
        <w:t xml:space="preserve"> </w:t>
      </w:r>
      <w:r>
        <w:t>Chapter</w:t>
      </w:r>
      <w:r>
        <w:rPr>
          <w:spacing w:val="-4"/>
        </w:rPr>
        <w:t xml:space="preserve"> </w:t>
      </w:r>
      <w:r>
        <w:t>11 of the U.S. Bankruptcy Code may be impaired by the exercise of the FDIC’s powers under the “orderly liquidation authority” under Title II of the Dodd-Frank Act.</w:t>
      </w:r>
    </w:p>
    <w:p w14:paraId="23072EED" w14:textId="77777777" w:rsidR="00493DFA" w:rsidRDefault="00493DFA">
      <w:pPr>
        <w:pStyle w:val="BodyText"/>
        <w:spacing w:before="10"/>
        <w:rPr>
          <w:sz w:val="20"/>
        </w:rPr>
      </w:pPr>
    </w:p>
    <w:p w14:paraId="659FF5F7" w14:textId="77777777" w:rsidR="00493DFA" w:rsidRDefault="00E13B94">
      <w:pPr>
        <w:pStyle w:val="BodyText"/>
        <w:ind w:left="120" w:right="169" w:firstLine="856"/>
      </w:pPr>
      <w:r>
        <w:t>Title II</w:t>
      </w:r>
      <w:r>
        <w:rPr>
          <w:spacing w:val="-2"/>
        </w:rPr>
        <w:t xml:space="preserve"> </w:t>
      </w:r>
      <w:r>
        <w:t>of the Dodd-Frank Act created a new resolution regime known as the “orderly liquidation authority” to which financial companies, including U.S. IHCs of foreign banking organizations with assets of</w:t>
      </w:r>
      <w:r>
        <w:rPr>
          <w:spacing w:val="-1"/>
        </w:rPr>
        <w:t xml:space="preserve"> </w:t>
      </w:r>
      <w:r>
        <w:t>$50 billion or</w:t>
      </w:r>
      <w:r>
        <w:rPr>
          <w:spacing w:val="-1"/>
        </w:rPr>
        <w:t xml:space="preserve"> </w:t>
      </w:r>
      <w:r>
        <w:t>more</w:t>
      </w:r>
      <w:r>
        <w:rPr>
          <w:spacing w:val="-1"/>
        </w:rPr>
        <w:t xml:space="preserve"> </w:t>
      </w:r>
      <w:r>
        <w:t>such as the</w:t>
      </w:r>
      <w:r>
        <w:rPr>
          <w:spacing w:val="-1"/>
        </w:rPr>
        <w:t xml:space="preserve"> </w:t>
      </w:r>
      <w:r>
        <w:t>Company, can be</w:t>
      </w:r>
      <w:r>
        <w:rPr>
          <w:spacing w:val="-1"/>
        </w:rPr>
        <w:t xml:space="preserve"> </w:t>
      </w:r>
      <w:r>
        <w:t>subjected. Under the</w:t>
      </w:r>
      <w:r>
        <w:rPr>
          <w:spacing w:val="-3"/>
        </w:rPr>
        <w:t xml:space="preserve"> </w:t>
      </w:r>
      <w:r>
        <w:t>orderly</w:t>
      </w:r>
      <w:r>
        <w:rPr>
          <w:spacing w:val="-7"/>
        </w:rPr>
        <w:t xml:space="preserve"> </w:t>
      </w:r>
      <w:r>
        <w:t>liquidation</w:t>
      </w:r>
      <w:r>
        <w:rPr>
          <w:spacing w:val="-2"/>
        </w:rPr>
        <w:t xml:space="preserve"> </w:t>
      </w:r>
      <w:r>
        <w:t>authority,</w:t>
      </w:r>
      <w:r>
        <w:rPr>
          <w:spacing w:val="-2"/>
        </w:rPr>
        <w:t xml:space="preserve"> </w:t>
      </w:r>
      <w:r>
        <w:t>the</w:t>
      </w:r>
      <w:r>
        <w:rPr>
          <w:spacing w:val="-3"/>
        </w:rPr>
        <w:t xml:space="preserve"> </w:t>
      </w:r>
      <w:r>
        <w:t>FDIC</w:t>
      </w:r>
      <w:r>
        <w:rPr>
          <w:spacing w:val="-3"/>
        </w:rPr>
        <w:t xml:space="preserve"> </w:t>
      </w:r>
      <w:r>
        <w:t>may</w:t>
      </w:r>
      <w:r>
        <w:rPr>
          <w:spacing w:val="-8"/>
        </w:rPr>
        <w:t xml:space="preserve"> </w:t>
      </w:r>
      <w:r>
        <w:t>be</w:t>
      </w:r>
      <w:r>
        <w:rPr>
          <w:spacing w:val="-2"/>
        </w:rPr>
        <w:t xml:space="preserve"> </w:t>
      </w:r>
      <w:r>
        <w:t>appointed</w:t>
      </w:r>
      <w:r>
        <w:rPr>
          <w:spacing w:val="-3"/>
        </w:rPr>
        <w:t xml:space="preserve"> </w:t>
      </w:r>
      <w:r>
        <w:t>as</w:t>
      </w:r>
      <w:r>
        <w:rPr>
          <w:spacing w:val="-2"/>
        </w:rPr>
        <w:t xml:space="preserve"> </w:t>
      </w:r>
      <w:r>
        <w:t>receiver</w:t>
      </w:r>
      <w:r>
        <w:rPr>
          <w:spacing w:val="-3"/>
        </w:rPr>
        <w:t xml:space="preserve"> </w:t>
      </w:r>
      <w:r>
        <w:t>to</w:t>
      </w:r>
      <w:r>
        <w:rPr>
          <w:spacing w:val="-2"/>
        </w:rPr>
        <w:t xml:space="preserve"> </w:t>
      </w:r>
      <w:r>
        <w:t>liquidate</w:t>
      </w:r>
      <w:r>
        <w:rPr>
          <w:spacing w:val="-3"/>
        </w:rPr>
        <w:t xml:space="preserve"> </w:t>
      </w:r>
      <w:r>
        <w:t>a</w:t>
      </w:r>
      <w:r>
        <w:rPr>
          <w:spacing w:val="-3"/>
        </w:rPr>
        <w:t xml:space="preserve"> </w:t>
      </w:r>
      <w:r>
        <w:t>financial company if, upon the recommendation of applicable regulators, the United States Secretary of the Treasury determines that the entity is in severe financial distress, the entity’s failure would have serious adverse effects on the U.S. financial system and resolution under the orderly liquidation authority would avoid or mitigate those effects, among other things. Absent such determinations, the Company would remain subject to the U.S. Bankruptcy Code.</w:t>
      </w:r>
    </w:p>
    <w:p w14:paraId="44ABE397" w14:textId="77777777" w:rsidR="00493DFA" w:rsidRDefault="00493DFA">
      <w:pPr>
        <w:sectPr w:rsidR="00493DFA">
          <w:footerReference w:type="default" r:id="rId13"/>
          <w:pgSz w:w="12240" w:h="15840"/>
          <w:pgMar w:top="1100" w:right="1340" w:bottom="620" w:left="1320" w:header="0" w:footer="434" w:gutter="0"/>
          <w:pgNumType w:start="2"/>
          <w:cols w:space="720"/>
        </w:sectPr>
      </w:pPr>
    </w:p>
    <w:p w14:paraId="1146F00D" w14:textId="77777777" w:rsidR="00493DFA" w:rsidRDefault="00E13B94">
      <w:pPr>
        <w:pStyle w:val="BodyText"/>
        <w:spacing w:before="63"/>
        <w:ind w:left="120" w:right="156" w:firstLine="856"/>
      </w:pPr>
      <w:r>
        <w:lastRenderedPageBreak/>
        <w:t>If the FDIC is appointed as receiver under the orderly liquidation authority, then the orderly</w:t>
      </w:r>
      <w:r>
        <w:rPr>
          <w:spacing w:val="-8"/>
        </w:rPr>
        <w:t xml:space="preserve"> </w:t>
      </w:r>
      <w:r>
        <w:t>liquidation</w:t>
      </w:r>
      <w:r>
        <w:rPr>
          <w:spacing w:val="-3"/>
        </w:rPr>
        <w:t xml:space="preserve"> </w:t>
      </w:r>
      <w:r>
        <w:t>authority,</w:t>
      </w:r>
      <w:r>
        <w:rPr>
          <w:spacing w:val="-3"/>
        </w:rPr>
        <w:t xml:space="preserve"> </w:t>
      </w:r>
      <w:r>
        <w:t>rather</w:t>
      </w:r>
      <w:r>
        <w:rPr>
          <w:spacing w:val="-4"/>
        </w:rPr>
        <w:t xml:space="preserve"> </w:t>
      </w:r>
      <w:r>
        <w:t>than</w:t>
      </w:r>
      <w:r>
        <w:rPr>
          <w:spacing w:val="-3"/>
        </w:rPr>
        <w:t xml:space="preserve"> </w:t>
      </w:r>
      <w:r>
        <w:t>the</w:t>
      </w:r>
      <w:r>
        <w:rPr>
          <w:spacing w:val="-2"/>
        </w:rPr>
        <w:t xml:space="preserve"> </w:t>
      </w:r>
      <w:r>
        <w:t>U.S.</w:t>
      </w:r>
      <w:r>
        <w:rPr>
          <w:spacing w:val="-3"/>
        </w:rPr>
        <w:t xml:space="preserve"> </w:t>
      </w:r>
      <w:r>
        <w:t>Bankruptcy</w:t>
      </w:r>
      <w:r>
        <w:rPr>
          <w:spacing w:val="-8"/>
        </w:rPr>
        <w:t xml:space="preserve"> </w:t>
      </w:r>
      <w:r>
        <w:t>Code,</w:t>
      </w:r>
      <w:r>
        <w:rPr>
          <w:spacing w:val="-3"/>
        </w:rPr>
        <w:t xml:space="preserve"> </w:t>
      </w:r>
      <w:r>
        <w:t>would</w:t>
      </w:r>
      <w:r>
        <w:rPr>
          <w:spacing w:val="-1"/>
        </w:rPr>
        <w:t xml:space="preserve"> </w:t>
      </w:r>
      <w:r>
        <w:t>determine</w:t>
      </w:r>
      <w:r>
        <w:rPr>
          <w:spacing w:val="-4"/>
        </w:rPr>
        <w:t xml:space="preserve"> </w:t>
      </w:r>
      <w:r>
        <w:t>the</w:t>
      </w:r>
      <w:r>
        <w:rPr>
          <w:spacing w:val="-4"/>
        </w:rPr>
        <w:t xml:space="preserve"> </w:t>
      </w:r>
      <w:r>
        <w:t>powers of the receiver and the rights and obligations of creditors and other parties who have transacted with the Company. There are substantial differences between the rights available to creditors under</w:t>
      </w:r>
      <w:r>
        <w:rPr>
          <w:spacing w:val="-1"/>
        </w:rPr>
        <w:t xml:space="preserve"> </w:t>
      </w:r>
      <w:r>
        <w:t>the</w:t>
      </w:r>
      <w:r>
        <w:rPr>
          <w:spacing w:val="-1"/>
        </w:rPr>
        <w:t xml:space="preserve"> </w:t>
      </w:r>
      <w:r>
        <w:t>orderly</w:t>
      </w:r>
      <w:r>
        <w:rPr>
          <w:spacing w:val="-5"/>
        </w:rPr>
        <w:t xml:space="preserve"> </w:t>
      </w:r>
      <w:r>
        <w:t>liquidation authority</w:t>
      </w:r>
      <w:r>
        <w:rPr>
          <w:spacing w:val="-5"/>
        </w:rPr>
        <w:t xml:space="preserve"> </w:t>
      </w:r>
      <w:r>
        <w:t>and under</w:t>
      </w:r>
      <w:r>
        <w:rPr>
          <w:spacing w:val="-1"/>
        </w:rPr>
        <w:t xml:space="preserve"> </w:t>
      </w:r>
      <w:r>
        <w:t>the</w:t>
      </w:r>
      <w:r>
        <w:rPr>
          <w:spacing w:val="-1"/>
        </w:rPr>
        <w:t xml:space="preserve"> </w:t>
      </w:r>
      <w:r>
        <w:t>U.S. Bankruptcy</w:t>
      </w:r>
      <w:r>
        <w:rPr>
          <w:spacing w:val="-5"/>
        </w:rPr>
        <w:t xml:space="preserve"> </w:t>
      </w:r>
      <w:r>
        <w:t>Code. For example, under the orderly liquidation authority, the FDIC may disregard the strict priority of creditor claims in some</w:t>
      </w:r>
      <w:r>
        <w:rPr>
          <w:spacing w:val="-4"/>
        </w:rPr>
        <w:t xml:space="preserve"> </w:t>
      </w:r>
      <w:r>
        <w:t>circumstances</w:t>
      </w:r>
      <w:r>
        <w:rPr>
          <w:spacing w:val="-3"/>
        </w:rPr>
        <w:t xml:space="preserve"> </w:t>
      </w:r>
      <w:r>
        <w:t>(which</w:t>
      </w:r>
      <w:r>
        <w:rPr>
          <w:spacing w:val="-3"/>
        </w:rPr>
        <w:t xml:space="preserve"> </w:t>
      </w:r>
      <w:r>
        <w:t>would</w:t>
      </w:r>
      <w:r>
        <w:rPr>
          <w:spacing w:val="-3"/>
        </w:rPr>
        <w:t xml:space="preserve"> </w:t>
      </w:r>
      <w:r>
        <w:t>otherwise</w:t>
      </w:r>
      <w:r>
        <w:rPr>
          <w:spacing w:val="-4"/>
        </w:rPr>
        <w:t xml:space="preserve"> </w:t>
      </w:r>
      <w:r>
        <w:t>be</w:t>
      </w:r>
      <w:r>
        <w:rPr>
          <w:spacing w:val="-4"/>
        </w:rPr>
        <w:t xml:space="preserve"> </w:t>
      </w:r>
      <w:r>
        <w:t>respected</w:t>
      </w:r>
      <w:r>
        <w:rPr>
          <w:spacing w:val="-3"/>
        </w:rPr>
        <w:t xml:space="preserve"> </w:t>
      </w:r>
      <w:r>
        <w:t>under</w:t>
      </w:r>
      <w:r>
        <w:rPr>
          <w:spacing w:val="-4"/>
        </w:rPr>
        <w:t xml:space="preserve"> </w:t>
      </w:r>
      <w:r>
        <w:t>the</w:t>
      </w:r>
      <w:r>
        <w:rPr>
          <w:spacing w:val="-4"/>
        </w:rPr>
        <w:t xml:space="preserve"> </w:t>
      </w:r>
      <w:r>
        <w:t>U.S.</w:t>
      </w:r>
      <w:r>
        <w:rPr>
          <w:spacing w:val="-3"/>
        </w:rPr>
        <w:t xml:space="preserve"> </w:t>
      </w:r>
      <w:r>
        <w:t>Bankruptcy</w:t>
      </w:r>
      <w:r>
        <w:rPr>
          <w:spacing w:val="-7"/>
        </w:rPr>
        <w:t xml:space="preserve"> </w:t>
      </w:r>
      <w:r>
        <w:t>Code),</w:t>
      </w:r>
      <w:r>
        <w:rPr>
          <w:spacing w:val="-1"/>
        </w:rPr>
        <w:t xml:space="preserve"> </w:t>
      </w:r>
      <w:r>
        <w:t>and an administrative claims procedure is used to determine creditors’ claims (as opposed to the judicial procedure utilized in bankruptcy proceedings). Under the orderly liquidation authority, in</w:t>
      </w:r>
      <w:r>
        <w:rPr>
          <w:spacing w:val="-2"/>
        </w:rPr>
        <w:t xml:space="preserve"> </w:t>
      </w:r>
      <w:r>
        <w:t>certain</w:t>
      </w:r>
      <w:r>
        <w:rPr>
          <w:spacing w:val="-2"/>
        </w:rPr>
        <w:t xml:space="preserve"> </w:t>
      </w:r>
      <w:r>
        <w:t>circumstances, the</w:t>
      </w:r>
      <w:r>
        <w:rPr>
          <w:spacing w:val="-3"/>
        </w:rPr>
        <w:t xml:space="preserve"> </w:t>
      </w:r>
      <w:r>
        <w:t>FDIC</w:t>
      </w:r>
      <w:r>
        <w:rPr>
          <w:spacing w:val="-2"/>
        </w:rPr>
        <w:t xml:space="preserve"> </w:t>
      </w:r>
      <w:r>
        <w:t>could elevate</w:t>
      </w:r>
      <w:r>
        <w:rPr>
          <w:spacing w:val="-3"/>
        </w:rPr>
        <w:t xml:space="preserve"> </w:t>
      </w:r>
      <w:r>
        <w:t>the</w:t>
      </w:r>
      <w:r>
        <w:rPr>
          <w:spacing w:val="-3"/>
        </w:rPr>
        <w:t xml:space="preserve"> </w:t>
      </w:r>
      <w:r>
        <w:t>priority</w:t>
      </w:r>
      <w:r>
        <w:rPr>
          <w:spacing w:val="-7"/>
        </w:rPr>
        <w:t xml:space="preserve"> </w:t>
      </w:r>
      <w:r>
        <w:t>of</w:t>
      </w:r>
      <w:r>
        <w:rPr>
          <w:spacing w:val="-3"/>
        </w:rPr>
        <w:t xml:space="preserve"> </w:t>
      </w:r>
      <w:r>
        <w:t>claims</w:t>
      </w:r>
      <w:r>
        <w:rPr>
          <w:spacing w:val="-2"/>
        </w:rPr>
        <w:t xml:space="preserve"> </w:t>
      </w:r>
      <w:r>
        <w:t>if</w:t>
      </w:r>
      <w:r>
        <w:rPr>
          <w:spacing w:val="-3"/>
        </w:rPr>
        <w:t xml:space="preserve"> </w:t>
      </w:r>
      <w:r>
        <w:t>it</w:t>
      </w:r>
      <w:r>
        <w:rPr>
          <w:spacing w:val="-2"/>
        </w:rPr>
        <w:t xml:space="preserve"> </w:t>
      </w:r>
      <w:r>
        <w:t>determines</w:t>
      </w:r>
      <w:r>
        <w:rPr>
          <w:spacing w:val="-2"/>
        </w:rPr>
        <w:t xml:space="preserve"> </w:t>
      </w:r>
      <w:r>
        <w:t>that</w:t>
      </w:r>
      <w:r>
        <w:rPr>
          <w:spacing w:val="-2"/>
        </w:rPr>
        <w:t xml:space="preserve"> </w:t>
      </w:r>
      <w:r>
        <w:t>doing so is necessary to facilitate a smooth and orderly liquidation without the need to obtain the consent of other creditors or prior court review. Furthermore, the FDIC has the right to transfer assets or liabilities of the failed company to a third party, or “bridge” entity, under the orderly liquidation authority.</w:t>
      </w:r>
    </w:p>
    <w:p w14:paraId="6973CE2E" w14:textId="77777777" w:rsidR="00493DFA" w:rsidRDefault="00493DFA">
      <w:pPr>
        <w:pStyle w:val="BodyText"/>
        <w:spacing w:before="8"/>
        <w:rPr>
          <w:sz w:val="20"/>
        </w:rPr>
      </w:pPr>
    </w:p>
    <w:p w14:paraId="1AB9A20A" w14:textId="77777777" w:rsidR="00493DFA" w:rsidRDefault="00E13B94">
      <w:pPr>
        <w:pStyle w:val="BodyText"/>
        <w:ind w:left="976"/>
      </w:pPr>
      <w:r>
        <w:t>Regardless</w:t>
      </w:r>
      <w:r>
        <w:rPr>
          <w:spacing w:val="-3"/>
        </w:rPr>
        <w:t xml:space="preserve"> </w:t>
      </w:r>
      <w:r>
        <w:t>of</w:t>
      </w:r>
      <w:r>
        <w:rPr>
          <w:spacing w:val="-4"/>
        </w:rPr>
        <w:t xml:space="preserve"> </w:t>
      </w:r>
      <w:r>
        <w:t>what</w:t>
      </w:r>
      <w:r>
        <w:rPr>
          <w:spacing w:val="-3"/>
        </w:rPr>
        <w:t xml:space="preserve"> </w:t>
      </w:r>
      <w:r>
        <w:t>resolution</w:t>
      </w:r>
      <w:r>
        <w:rPr>
          <w:spacing w:val="-3"/>
        </w:rPr>
        <w:t xml:space="preserve"> </w:t>
      </w:r>
      <w:r>
        <w:t>strategy</w:t>
      </w:r>
      <w:r>
        <w:rPr>
          <w:spacing w:val="-6"/>
        </w:rPr>
        <w:t xml:space="preserve"> </w:t>
      </w:r>
      <w:r>
        <w:t>Banco</w:t>
      </w:r>
      <w:r>
        <w:rPr>
          <w:spacing w:val="-4"/>
        </w:rPr>
        <w:t xml:space="preserve"> </w:t>
      </w:r>
      <w:r>
        <w:t>Santander</w:t>
      </w:r>
      <w:r>
        <w:rPr>
          <w:spacing w:val="-4"/>
        </w:rPr>
        <w:t xml:space="preserve"> </w:t>
      </w:r>
      <w:r>
        <w:t>might</w:t>
      </w:r>
      <w:r>
        <w:rPr>
          <w:spacing w:val="-3"/>
        </w:rPr>
        <w:t xml:space="preserve"> </w:t>
      </w:r>
      <w:r>
        <w:t>prefer</w:t>
      </w:r>
      <w:r>
        <w:rPr>
          <w:spacing w:val="-4"/>
        </w:rPr>
        <w:t xml:space="preserve"> </w:t>
      </w:r>
      <w:r>
        <w:t>for</w:t>
      </w:r>
      <w:r>
        <w:rPr>
          <w:spacing w:val="-3"/>
        </w:rPr>
        <w:t xml:space="preserve"> </w:t>
      </w:r>
      <w:r>
        <w:t>resolving</w:t>
      </w:r>
      <w:r>
        <w:rPr>
          <w:spacing w:val="-6"/>
        </w:rPr>
        <w:t xml:space="preserve"> </w:t>
      </w:r>
      <w:r>
        <w:rPr>
          <w:spacing w:val="-5"/>
        </w:rPr>
        <w:t>its</w:t>
      </w:r>
    </w:p>
    <w:p w14:paraId="5E8A1F9D" w14:textId="77777777" w:rsidR="00493DFA" w:rsidRDefault="00E13B94">
      <w:pPr>
        <w:pStyle w:val="BodyText"/>
        <w:ind w:left="120" w:right="111"/>
      </w:pPr>
      <w:r>
        <w:t>U.S. operations, the FDIC could determine that it is a desirable strategy to resolve the Company in a manner that would, among other things, impose losses on the Company’s shareholder, unsecured debt holders (including holders of LTD) and other creditors, while permitting the Company’s subsidiaries to continue to operate. It is likely that the application of such an entry strategy in which the Company would be the only legal entity in the U.S. to enter resolution proceedings would result in greater losses to holders of our LTD and other debt securities than the losses that would result from the application of a bankruptcy proceeding or a different resolution strategy</w:t>
      </w:r>
      <w:r>
        <w:rPr>
          <w:spacing w:val="-5"/>
        </w:rPr>
        <w:t xml:space="preserve"> </w:t>
      </w:r>
      <w:r>
        <w:t>for</w:t>
      </w:r>
      <w:r>
        <w:rPr>
          <w:spacing w:val="-1"/>
        </w:rPr>
        <w:t xml:space="preserve"> </w:t>
      </w:r>
      <w:r>
        <w:t>the</w:t>
      </w:r>
      <w:r>
        <w:rPr>
          <w:spacing w:val="-1"/>
        </w:rPr>
        <w:t xml:space="preserve"> </w:t>
      </w:r>
      <w:r>
        <w:t>Company. Assuming</w:t>
      </w:r>
      <w:r>
        <w:rPr>
          <w:spacing w:val="-3"/>
        </w:rPr>
        <w:t xml:space="preserve"> </w:t>
      </w:r>
      <w:r>
        <w:t>the</w:t>
      </w:r>
      <w:r>
        <w:rPr>
          <w:spacing w:val="-1"/>
        </w:rPr>
        <w:t xml:space="preserve"> </w:t>
      </w:r>
      <w:r>
        <w:t>Company</w:t>
      </w:r>
      <w:r>
        <w:rPr>
          <w:spacing w:val="-3"/>
        </w:rPr>
        <w:t xml:space="preserve"> </w:t>
      </w:r>
      <w:r>
        <w:t>entered resolution proceedings and support from the Company to its subsidiaries was sufficient to enable the subsidiaries to remain solvent, losses at the subsidiary level could be transferred to the Company and ultimately borne by</w:t>
      </w:r>
      <w:r>
        <w:rPr>
          <w:spacing w:val="-8"/>
        </w:rPr>
        <w:t xml:space="preserve"> </w:t>
      </w:r>
      <w:r>
        <w:t>the</w:t>
      </w:r>
      <w:r>
        <w:rPr>
          <w:spacing w:val="-4"/>
        </w:rPr>
        <w:t xml:space="preserve"> </w:t>
      </w:r>
      <w:r>
        <w:t>Company’s</w:t>
      </w:r>
      <w:r>
        <w:rPr>
          <w:spacing w:val="-2"/>
        </w:rPr>
        <w:t xml:space="preserve"> </w:t>
      </w:r>
      <w:r>
        <w:t>security</w:t>
      </w:r>
      <w:r>
        <w:rPr>
          <w:spacing w:val="-7"/>
        </w:rPr>
        <w:t xml:space="preserve"> </w:t>
      </w:r>
      <w:r>
        <w:t>holders (including</w:t>
      </w:r>
      <w:r>
        <w:rPr>
          <w:spacing w:val="-5"/>
        </w:rPr>
        <w:t xml:space="preserve"> </w:t>
      </w:r>
      <w:r>
        <w:t>holders</w:t>
      </w:r>
      <w:r>
        <w:rPr>
          <w:spacing w:val="-2"/>
        </w:rPr>
        <w:t xml:space="preserve"> </w:t>
      </w:r>
      <w:r>
        <w:t>of</w:t>
      </w:r>
      <w:r>
        <w:rPr>
          <w:spacing w:val="-3"/>
        </w:rPr>
        <w:t xml:space="preserve"> </w:t>
      </w:r>
      <w:r>
        <w:t>our</w:t>
      </w:r>
      <w:r>
        <w:rPr>
          <w:spacing w:val="-1"/>
        </w:rPr>
        <w:t xml:space="preserve"> </w:t>
      </w:r>
      <w:r>
        <w:t>LTD</w:t>
      </w:r>
      <w:r>
        <w:rPr>
          <w:spacing w:val="-3"/>
        </w:rPr>
        <w:t xml:space="preserve"> </w:t>
      </w:r>
      <w:r>
        <w:t>and</w:t>
      </w:r>
      <w:r>
        <w:rPr>
          <w:spacing w:val="-2"/>
        </w:rPr>
        <w:t xml:space="preserve"> </w:t>
      </w:r>
      <w:r>
        <w:t>other</w:t>
      </w:r>
      <w:r>
        <w:rPr>
          <w:spacing w:val="-3"/>
        </w:rPr>
        <w:t xml:space="preserve"> </w:t>
      </w:r>
      <w:r>
        <w:t>debt</w:t>
      </w:r>
      <w:r>
        <w:rPr>
          <w:spacing w:val="-2"/>
        </w:rPr>
        <w:t xml:space="preserve"> </w:t>
      </w:r>
      <w:r>
        <w:t>securities),</w:t>
      </w:r>
      <w:r>
        <w:rPr>
          <w:spacing w:val="-1"/>
        </w:rPr>
        <w:t xml:space="preserve"> </w:t>
      </w:r>
      <w:r>
        <w:t>with the result that third-party creditors of the Company’s subsidiaries would receive full recoveries on their claims, while the Company’s securityholders (including holders of our LTD) and other unsecured creditors could face significant losses. In addition, in a resolution under the orderly liquidation authority, holders our LTD and other debt securities of the Company could face</w:t>
      </w:r>
      <w:r>
        <w:rPr>
          <w:spacing w:val="40"/>
        </w:rPr>
        <w:t xml:space="preserve"> </w:t>
      </w:r>
      <w:r>
        <w:t>losses ahead of our other similarly situated creditors if the FDIC exercised its right, described above, to disregard the strict priority of creditor claims.</w:t>
      </w:r>
    </w:p>
    <w:p w14:paraId="73EBBCE6" w14:textId="77777777" w:rsidR="00493DFA" w:rsidRDefault="00493DFA">
      <w:pPr>
        <w:pStyle w:val="BodyText"/>
      </w:pPr>
    </w:p>
    <w:p w14:paraId="35BAAEDA" w14:textId="77777777" w:rsidR="00493DFA" w:rsidRDefault="00E13B94">
      <w:pPr>
        <w:pStyle w:val="BodyText"/>
        <w:ind w:left="120" w:right="169" w:firstLine="856"/>
      </w:pPr>
      <w:r>
        <w:t>The orderly liquidation authority also requires that creditors and shareholders of the financial company in receivership must bear all losses before taxpayers are exposed to any losses, and amounts owed by the financial company or the receivership to the U.S. government would generally receive a statutory payment priority over the claims of private creditors, including</w:t>
      </w:r>
      <w:r>
        <w:rPr>
          <w:spacing w:val="-6"/>
        </w:rPr>
        <w:t xml:space="preserve"> </w:t>
      </w:r>
      <w:r>
        <w:t>holders</w:t>
      </w:r>
      <w:r>
        <w:rPr>
          <w:spacing w:val="-3"/>
        </w:rPr>
        <w:t xml:space="preserve"> </w:t>
      </w:r>
      <w:r>
        <w:t>of</w:t>
      </w:r>
      <w:r>
        <w:rPr>
          <w:spacing w:val="-4"/>
        </w:rPr>
        <w:t xml:space="preserve"> </w:t>
      </w:r>
      <w:r>
        <w:t>our</w:t>
      </w:r>
      <w:r>
        <w:rPr>
          <w:spacing w:val="-2"/>
        </w:rPr>
        <w:t xml:space="preserve"> </w:t>
      </w:r>
      <w:r>
        <w:t>LTD</w:t>
      </w:r>
      <w:r>
        <w:rPr>
          <w:spacing w:val="-2"/>
        </w:rPr>
        <w:t xml:space="preserve"> </w:t>
      </w:r>
      <w:r>
        <w:t>and</w:t>
      </w:r>
      <w:r>
        <w:rPr>
          <w:spacing w:val="-3"/>
        </w:rPr>
        <w:t xml:space="preserve"> </w:t>
      </w:r>
      <w:r>
        <w:t>other</w:t>
      </w:r>
      <w:r>
        <w:rPr>
          <w:spacing w:val="-4"/>
        </w:rPr>
        <w:t xml:space="preserve"> </w:t>
      </w:r>
      <w:r>
        <w:t>debt</w:t>
      </w:r>
      <w:r>
        <w:rPr>
          <w:spacing w:val="-3"/>
        </w:rPr>
        <w:t xml:space="preserve"> </w:t>
      </w:r>
      <w:r>
        <w:t>securities.</w:t>
      </w:r>
      <w:r>
        <w:rPr>
          <w:spacing w:val="-1"/>
        </w:rPr>
        <w:t xml:space="preserve"> </w:t>
      </w:r>
      <w:r>
        <w:t>In</w:t>
      </w:r>
      <w:r>
        <w:rPr>
          <w:spacing w:val="-1"/>
        </w:rPr>
        <w:t xml:space="preserve"> </w:t>
      </w:r>
      <w:r>
        <w:t>addition,</w:t>
      </w:r>
      <w:r>
        <w:rPr>
          <w:spacing w:val="-3"/>
        </w:rPr>
        <w:t xml:space="preserve"> </w:t>
      </w:r>
      <w:r>
        <w:t>under</w:t>
      </w:r>
      <w:r>
        <w:rPr>
          <w:spacing w:val="-4"/>
        </w:rPr>
        <w:t xml:space="preserve"> </w:t>
      </w:r>
      <w:r>
        <w:t>the</w:t>
      </w:r>
      <w:r>
        <w:rPr>
          <w:spacing w:val="-4"/>
        </w:rPr>
        <w:t xml:space="preserve"> </w:t>
      </w:r>
      <w:r>
        <w:t>orderly</w:t>
      </w:r>
      <w:r>
        <w:rPr>
          <w:spacing w:val="-8"/>
        </w:rPr>
        <w:t xml:space="preserve"> </w:t>
      </w:r>
      <w:r>
        <w:t>liquidation authority, claims of creditors (including holders of our LTD and other debt securities) could be satisfied through the issuance of equity or other securities in a bridge entity to which the Company’s assets are transferred, as described above. If securities were to be delivered in satisfaction of claims, there can be no assurance that the value of the securities of the bridge entity would be sufficient to repay all or any part of the creditor claims for which the securities were exchanged.</w:t>
      </w:r>
    </w:p>
    <w:p w14:paraId="55D2BF3B" w14:textId="77777777" w:rsidR="00493DFA" w:rsidRDefault="00493DFA">
      <w:pPr>
        <w:sectPr w:rsidR="00493DFA">
          <w:pgSz w:w="12240" w:h="15840"/>
          <w:pgMar w:top="1100" w:right="1340" w:bottom="620" w:left="1320" w:header="0" w:footer="434" w:gutter="0"/>
          <w:cols w:space="720"/>
        </w:sectPr>
      </w:pPr>
    </w:p>
    <w:p w14:paraId="10FF12B4" w14:textId="77777777" w:rsidR="00493DFA" w:rsidRDefault="00E13B94">
      <w:pPr>
        <w:pStyle w:val="BodyText"/>
        <w:spacing w:before="63"/>
        <w:ind w:left="120" w:right="1027" w:firstLine="856"/>
        <w:jc w:val="both"/>
      </w:pPr>
      <w:r>
        <w:lastRenderedPageBreak/>
        <w:t>Although</w:t>
      </w:r>
      <w:r>
        <w:rPr>
          <w:spacing w:val="-4"/>
        </w:rPr>
        <w:t xml:space="preserve"> </w:t>
      </w:r>
      <w:r>
        <w:t>the</w:t>
      </w:r>
      <w:r>
        <w:rPr>
          <w:spacing w:val="-3"/>
        </w:rPr>
        <w:t xml:space="preserve"> </w:t>
      </w:r>
      <w:r>
        <w:t>FDIC</w:t>
      </w:r>
      <w:r>
        <w:rPr>
          <w:spacing w:val="-4"/>
        </w:rPr>
        <w:t xml:space="preserve"> </w:t>
      </w:r>
      <w:r>
        <w:t>has</w:t>
      </w:r>
      <w:r>
        <w:rPr>
          <w:spacing w:val="-4"/>
        </w:rPr>
        <w:t xml:space="preserve"> </w:t>
      </w:r>
      <w:r>
        <w:t>issued</w:t>
      </w:r>
      <w:r>
        <w:rPr>
          <w:spacing w:val="-4"/>
        </w:rPr>
        <w:t xml:space="preserve"> </w:t>
      </w:r>
      <w:r>
        <w:t>regulations</w:t>
      </w:r>
      <w:r>
        <w:rPr>
          <w:spacing w:val="-4"/>
        </w:rPr>
        <w:t xml:space="preserve"> </w:t>
      </w:r>
      <w:r>
        <w:t>to</w:t>
      </w:r>
      <w:r>
        <w:rPr>
          <w:spacing w:val="-4"/>
        </w:rPr>
        <w:t xml:space="preserve"> </w:t>
      </w:r>
      <w:r>
        <w:t>implement</w:t>
      </w:r>
      <w:r>
        <w:rPr>
          <w:spacing w:val="-4"/>
        </w:rPr>
        <w:t xml:space="preserve"> </w:t>
      </w:r>
      <w:r>
        <w:t>the</w:t>
      </w:r>
      <w:r>
        <w:rPr>
          <w:spacing w:val="-4"/>
        </w:rPr>
        <w:t xml:space="preserve"> </w:t>
      </w:r>
      <w:r>
        <w:t>orderly</w:t>
      </w:r>
      <w:r>
        <w:rPr>
          <w:spacing w:val="-8"/>
        </w:rPr>
        <w:t xml:space="preserve"> </w:t>
      </w:r>
      <w:r>
        <w:t>liquidation authority, not all aspects of</w:t>
      </w:r>
      <w:r>
        <w:rPr>
          <w:spacing w:val="-1"/>
        </w:rPr>
        <w:t xml:space="preserve"> </w:t>
      </w:r>
      <w:r>
        <w:t>how</w:t>
      </w:r>
      <w:r>
        <w:rPr>
          <w:spacing w:val="-1"/>
        </w:rPr>
        <w:t xml:space="preserve"> </w:t>
      </w:r>
      <w:r>
        <w:t>the</w:t>
      </w:r>
      <w:r>
        <w:rPr>
          <w:spacing w:val="-1"/>
        </w:rPr>
        <w:t xml:space="preserve"> </w:t>
      </w:r>
      <w:r>
        <w:t>FDIC might exercise</w:t>
      </w:r>
      <w:r>
        <w:rPr>
          <w:spacing w:val="-1"/>
        </w:rPr>
        <w:t xml:space="preserve"> </w:t>
      </w:r>
      <w:r>
        <w:t>that authority</w:t>
      </w:r>
      <w:r>
        <w:rPr>
          <w:spacing w:val="-3"/>
        </w:rPr>
        <w:t xml:space="preserve"> </w:t>
      </w:r>
      <w:r>
        <w:t>are known, and additional rulemaking is possible.</w:t>
      </w:r>
    </w:p>
    <w:sectPr w:rsidR="00493DFA">
      <w:pgSz w:w="12240" w:h="15840"/>
      <w:pgMar w:top="1100" w:right="1340" w:bottom="620" w:left="1320" w:header="0"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191F8" w14:textId="77777777" w:rsidR="001777A2" w:rsidRDefault="00E13B94">
      <w:r>
        <w:separator/>
      </w:r>
    </w:p>
  </w:endnote>
  <w:endnote w:type="continuationSeparator" w:id="0">
    <w:p w14:paraId="6F9547C7" w14:textId="77777777" w:rsidR="001777A2" w:rsidRDefault="00E13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A0629" w14:textId="77777777" w:rsidR="001D7CCD" w:rsidRDefault="001D7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4EFA" w14:textId="77777777" w:rsidR="001D7CCD" w:rsidRDefault="001D7C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D85F9" w14:textId="77777777" w:rsidR="001D7CCD" w:rsidRDefault="001D7C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454CE" w14:textId="77777777" w:rsidR="00493DFA" w:rsidRDefault="001D7CCD">
    <w:pPr>
      <w:pStyle w:val="BodyText"/>
      <w:spacing w:line="14" w:lineRule="auto"/>
      <w:rPr>
        <w:sz w:val="20"/>
      </w:rPr>
    </w:pPr>
    <w:r>
      <w:pict w14:anchorId="34799027">
        <v:shapetype id="_x0000_t202" coordsize="21600,21600" o:spt="202" path="m,l,21600r21600,l21600,xe">
          <v:stroke joinstyle="miter"/>
          <v:path gradientshapeok="t" o:connecttype="rect"/>
        </v:shapetype>
        <v:shape id="docshape1" o:spid="_x0000_s1025" type="#_x0000_t202" style="position:absolute;margin-left:297.9pt;margin-top:759.3pt;width:16pt;height:15.3pt;z-index:-251658240;mso-position-horizontal-relative:page;mso-position-vertical-relative:page" filled="f" stroked="f">
          <v:textbox inset="0,0,0,0">
            <w:txbxContent>
              <w:p w14:paraId="369BFD10" w14:textId="77777777" w:rsidR="00493DFA" w:rsidRDefault="00E13B94">
                <w:pPr>
                  <w:pStyle w:val="BodyText"/>
                  <w:spacing w:before="10"/>
                  <w:ind w:left="20"/>
                </w:pPr>
                <w:r>
                  <w:rPr>
                    <w:w w:val="95"/>
                  </w:rPr>
                  <w:t>-</w:t>
                </w:r>
                <w:r>
                  <w:rPr>
                    <w:spacing w:val="-5"/>
                    <w:w w:val="95"/>
                  </w:rPr>
                  <w:fldChar w:fldCharType="begin"/>
                </w:r>
                <w:r>
                  <w:rPr>
                    <w:spacing w:val="-5"/>
                    <w:w w:val="95"/>
                  </w:rPr>
                  <w:instrText xml:space="preserve"> PAGE </w:instrText>
                </w:r>
                <w:r>
                  <w:rPr>
                    <w:spacing w:val="-5"/>
                    <w:w w:val="95"/>
                  </w:rPr>
                  <w:fldChar w:fldCharType="separate"/>
                </w:r>
                <w:r>
                  <w:rPr>
                    <w:spacing w:val="-5"/>
                    <w:w w:val="95"/>
                  </w:rPr>
                  <w:t>2</w:t>
                </w:r>
                <w:r>
                  <w:rPr>
                    <w:spacing w:val="-5"/>
                    <w:w w:val="95"/>
                  </w:rPr>
                  <w:fldChar w:fldCharType="end"/>
                </w:r>
                <w:r>
                  <w:rPr>
                    <w:spacing w:val="-5"/>
                    <w:w w:val="95"/>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EBCB6" w14:textId="77777777" w:rsidR="001777A2" w:rsidRDefault="00E13B94">
      <w:r>
        <w:separator/>
      </w:r>
    </w:p>
  </w:footnote>
  <w:footnote w:type="continuationSeparator" w:id="0">
    <w:p w14:paraId="099884A6" w14:textId="77777777" w:rsidR="001777A2" w:rsidRDefault="00E13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43E5A" w14:textId="77777777" w:rsidR="001D7CCD" w:rsidRDefault="001D7C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5EF5" w14:textId="3685AAD8" w:rsidR="0006374F" w:rsidRDefault="000637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29C83" w14:textId="77777777" w:rsidR="001D7CCD" w:rsidRDefault="001D7C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93DFA"/>
    <w:rsid w:val="0006374F"/>
    <w:rsid w:val="001777A2"/>
    <w:rsid w:val="001D7CCD"/>
    <w:rsid w:val="00493DFA"/>
    <w:rsid w:val="00E13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93A21"/>
  <w15:docId w15:val="{0457CF46-FC40-4D53-96B1-A21B52DBE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0"/>
      <w:ind w:left="120"/>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6374F"/>
    <w:pPr>
      <w:tabs>
        <w:tab w:val="center" w:pos="4680"/>
        <w:tab w:val="right" w:pos="9360"/>
      </w:tabs>
    </w:pPr>
  </w:style>
  <w:style w:type="character" w:customStyle="1" w:styleId="HeaderChar">
    <w:name w:val="Header Char"/>
    <w:basedOn w:val="DefaultParagraphFont"/>
    <w:link w:val="Header"/>
    <w:uiPriority w:val="99"/>
    <w:rsid w:val="0006374F"/>
    <w:rPr>
      <w:rFonts w:ascii="Times New Roman" w:eastAsia="Times New Roman" w:hAnsi="Times New Roman" w:cs="Times New Roman"/>
    </w:rPr>
  </w:style>
  <w:style w:type="paragraph" w:styleId="Footer">
    <w:name w:val="footer"/>
    <w:basedOn w:val="Normal"/>
    <w:link w:val="FooterChar"/>
    <w:uiPriority w:val="99"/>
    <w:unhideWhenUsed/>
    <w:rsid w:val="0006374F"/>
    <w:pPr>
      <w:tabs>
        <w:tab w:val="center" w:pos="4680"/>
        <w:tab w:val="right" w:pos="9360"/>
      </w:tabs>
    </w:pPr>
  </w:style>
  <w:style w:type="character" w:customStyle="1" w:styleId="FooterChar">
    <w:name w:val="Footer Char"/>
    <w:basedOn w:val="DefaultParagraphFont"/>
    <w:link w:val="Footer"/>
    <w:uiPriority w:val="99"/>
    <w:rsid w:val="0006374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1681</Words>
  <Characters>9585</Characters>
  <Application>Microsoft Office Word</Application>
  <DocSecurity>0</DocSecurity>
  <Lines>79</Lines>
  <Paragraphs>22</Paragraphs>
  <ScaleCrop>false</ScaleCrop>
  <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Chamberlain, Gerard A</dc:creator>
  <cp:lastModifiedBy>Author</cp:lastModifiedBy>
  <cp:revision>2</cp:revision>
  <dcterms:created xsi:type="dcterms:W3CDTF">2022-09-07T12:51:00Z</dcterms:created>
  <dcterms:modified xsi:type="dcterms:W3CDTF">2022-09-07T12:51:00Z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2018-12-21T00:00:00Z</vt:filetime>
  </property>
  <property fmtid="{D5CDD505-2E9C-101B-9397-08002B2CF9AE}" pid="3" name="Creator">
    <vt:lpwstr>Acrobat PDFMaker 15 for Word</vt:lpwstr>
  </property>
  <property fmtid="{D5CDD505-2E9C-101B-9397-08002B2CF9AE}" pid="4" name="LastSaved">
    <vt:filetime>2022-09-06T00:00:00Z</vt:filetime>
  </property>
  <property fmtid="{D5CDD505-2E9C-101B-9397-08002B2CF9AE}" pid="5" name="MSIP_Label_f54e6b59-cf09-4f53-85d7-bf10fd6e1b2e_Enabled">
    <vt:lpwstr>true</vt:lpwstr>
  </property>
  <property fmtid="{D5CDD505-2E9C-101B-9397-08002B2CF9AE}" pid="6" name="MSIP_Label_f54e6b59-cf09-4f53-85d7-bf10fd6e1b2e_SetDate">
    <vt:lpwstr>2022-09-07T12:51:16Z</vt:lpwstr>
  </property>
  <property fmtid="{D5CDD505-2E9C-101B-9397-08002B2CF9AE}" pid="7" name="MSIP_Label_f54e6b59-cf09-4f53-85d7-bf10fd6e1b2e_Method">
    <vt:lpwstr>Privileged</vt:lpwstr>
  </property>
  <property fmtid="{D5CDD505-2E9C-101B-9397-08002B2CF9AE}" pid="8" name="MSIP_Label_f54e6b59-cf09-4f53-85d7-bf10fd6e1b2e_Name">
    <vt:lpwstr>US Public</vt:lpwstr>
  </property>
  <property fmtid="{D5CDD505-2E9C-101B-9397-08002B2CF9AE}" pid="9" name="MSIP_Label_f54e6b59-cf09-4f53-85d7-bf10fd6e1b2e_SiteId">
    <vt:lpwstr>35595a02-4d6d-44ac-99e1-f9ab4cd872db</vt:lpwstr>
  </property>
  <property fmtid="{D5CDD505-2E9C-101B-9397-08002B2CF9AE}" pid="10" name="MSIP_Label_f54e6b59-cf09-4f53-85d7-bf10fd6e1b2e_ActionId">
    <vt:lpwstr>44490902-5b26-4de2-82c4-da0ba9009071</vt:lpwstr>
  </property>
  <property fmtid="{D5CDD505-2E9C-101B-9397-08002B2CF9AE}" pid="11" name="MSIP_Label_f54e6b59-cf09-4f53-85d7-bf10fd6e1b2e_ContentBits">
    <vt:lpwstr>0</vt:lpwstr>
  </property>
</Properties>
</file>